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6CC60" w14:textId="0B785DA4" w:rsidR="000611C6" w:rsidRPr="000611C6" w:rsidRDefault="000611C6" w:rsidP="000611C6">
      <w:pPr>
        <w:pStyle w:val="NoSpacing"/>
        <w:contextualSpacing/>
        <w:jc w:val="both"/>
        <w:rPr>
          <w:rFonts w:ascii="Arial" w:hAnsi="Arial" w:cs="Arial"/>
          <w:b/>
          <w:sz w:val="28"/>
          <w:szCs w:val="28"/>
          <w:lang w:val="en-GB"/>
        </w:rPr>
      </w:pPr>
      <w:r w:rsidRPr="000611C6">
        <w:rPr>
          <w:rFonts w:ascii="Arial" w:hAnsi="Arial" w:cs="Arial"/>
          <w:b/>
          <w:sz w:val="28"/>
          <w:szCs w:val="28"/>
          <w:lang w:val="en-GB"/>
        </w:rPr>
        <w:t>3GPP TSG RAN WG4 #</w:t>
      </w:r>
      <w:r w:rsidR="00043070">
        <w:rPr>
          <w:rFonts w:ascii="Arial" w:hAnsi="Arial" w:cs="Arial"/>
          <w:b/>
          <w:sz w:val="28"/>
          <w:szCs w:val="28"/>
          <w:lang w:val="en-GB"/>
        </w:rPr>
        <w:t>113</w:t>
      </w:r>
      <w:r w:rsidRPr="000611C6">
        <w:rPr>
          <w:rFonts w:ascii="Arial" w:hAnsi="Arial" w:cs="Arial"/>
          <w:b/>
          <w:sz w:val="28"/>
          <w:szCs w:val="28"/>
          <w:lang w:val="en-GB"/>
        </w:rPr>
        <w:tab/>
      </w:r>
      <w:r w:rsidRPr="000611C6">
        <w:rPr>
          <w:rFonts w:ascii="Arial" w:hAnsi="Arial" w:cs="Arial"/>
          <w:b/>
          <w:sz w:val="28"/>
          <w:szCs w:val="28"/>
          <w:lang w:val="en-GB"/>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Pr>
          <w:rFonts w:ascii="Arial" w:hAnsi="Arial" w:cs="Arial"/>
          <w:b/>
          <w:sz w:val="28"/>
          <w:szCs w:val="28"/>
          <w:lang w:val="en-GB" w:eastAsia="zh-CN"/>
        </w:rPr>
        <w:t xml:space="preserve">     </w:t>
      </w:r>
      <w:r w:rsidR="008857A4">
        <w:rPr>
          <w:rFonts w:ascii="Arial" w:hAnsi="Arial" w:cs="Arial"/>
          <w:b/>
          <w:sz w:val="28"/>
          <w:szCs w:val="28"/>
          <w:lang w:val="en-GB" w:eastAsia="zh-CN"/>
        </w:rPr>
        <w:t xml:space="preserve">       </w:t>
      </w:r>
      <w:r w:rsidRPr="000611C6">
        <w:rPr>
          <w:rFonts w:ascii="Arial" w:hAnsi="Arial" w:cs="Arial"/>
          <w:b/>
          <w:sz w:val="28"/>
          <w:szCs w:val="28"/>
          <w:lang w:val="en-GB"/>
        </w:rPr>
        <w:t>R4-</w:t>
      </w:r>
      <w:r w:rsidR="00464A2F">
        <w:rPr>
          <w:rFonts w:ascii="Arial" w:hAnsi="Arial" w:cs="Arial"/>
          <w:b/>
          <w:sz w:val="28"/>
          <w:szCs w:val="28"/>
          <w:lang w:val="en-GB"/>
        </w:rPr>
        <w:t>2418</w:t>
      </w:r>
      <w:r w:rsidR="00043070">
        <w:rPr>
          <w:rFonts w:ascii="Arial" w:hAnsi="Arial" w:cs="Arial"/>
          <w:b/>
          <w:sz w:val="28"/>
          <w:szCs w:val="28"/>
          <w:lang w:val="en-GB"/>
        </w:rPr>
        <w:t>826</w:t>
      </w:r>
    </w:p>
    <w:p w14:paraId="68BB5185" w14:textId="72B86862" w:rsidR="000611C6" w:rsidRPr="00E913CF" w:rsidRDefault="00043070" w:rsidP="000611C6">
      <w:pPr>
        <w:pStyle w:val="NoSpacing"/>
        <w:contextualSpacing/>
        <w:jc w:val="both"/>
        <w:rPr>
          <w:rFonts w:ascii="Arial" w:hAnsi="Arial" w:cs="Arial"/>
          <w:b/>
          <w:sz w:val="28"/>
          <w:szCs w:val="28"/>
        </w:rPr>
      </w:pPr>
      <w:r>
        <w:rPr>
          <w:rFonts w:ascii="Arial" w:hAnsi="Arial" w:cs="Arial"/>
          <w:b/>
          <w:sz w:val="28"/>
          <w:szCs w:val="28"/>
        </w:rPr>
        <w:t>Orlando</w:t>
      </w:r>
      <w:r w:rsidR="000611C6">
        <w:rPr>
          <w:rFonts w:ascii="Arial" w:hAnsi="Arial" w:cs="Arial"/>
          <w:b/>
          <w:sz w:val="28"/>
          <w:szCs w:val="28"/>
        </w:rPr>
        <w:t xml:space="preserve">, </w:t>
      </w:r>
      <w:r>
        <w:rPr>
          <w:rFonts w:ascii="Arial" w:hAnsi="Arial" w:cs="Arial"/>
          <w:b/>
          <w:sz w:val="28"/>
          <w:szCs w:val="28"/>
        </w:rPr>
        <w:t>USA</w:t>
      </w:r>
      <w:r w:rsidR="000611C6">
        <w:rPr>
          <w:rFonts w:ascii="Arial" w:hAnsi="Arial" w:cs="Arial"/>
          <w:b/>
          <w:sz w:val="28"/>
          <w:szCs w:val="28"/>
        </w:rPr>
        <w:t>,</w:t>
      </w:r>
      <w:r>
        <w:rPr>
          <w:rFonts w:ascii="Arial" w:hAnsi="Arial" w:cs="Arial"/>
          <w:b/>
          <w:sz w:val="28"/>
          <w:szCs w:val="28"/>
        </w:rPr>
        <w:t xml:space="preserve"> November</w:t>
      </w:r>
      <w:r w:rsidR="000611C6">
        <w:rPr>
          <w:rFonts w:ascii="Arial" w:hAnsi="Arial" w:cs="Arial"/>
          <w:b/>
          <w:sz w:val="28"/>
          <w:szCs w:val="28"/>
        </w:rPr>
        <w:t xml:space="preserve"> </w:t>
      </w:r>
      <w:r>
        <w:rPr>
          <w:rFonts w:ascii="Arial" w:hAnsi="Arial" w:cs="Arial"/>
          <w:b/>
          <w:sz w:val="28"/>
          <w:szCs w:val="28"/>
        </w:rPr>
        <w:t>18</w:t>
      </w:r>
      <w:r w:rsidR="000611C6" w:rsidRPr="00C05EFB">
        <w:rPr>
          <w:rFonts w:ascii="Arial" w:hAnsi="Arial" w:cs="Arial"/>
          <w:b/>
          <w:sz w:val="28"/>
          <w:szCs w:val="28"/>
          <w:vertAlign w:val="superscript"/>
        </w:rPr>
        <w:t>th</w:t>
      </w:r>
      <w:r w:rsidR="000611C6">
        <w:rPr>
          <w:rFonts w:ascii="Arial" w:hAnsi="Arial" w:cs="Arial"/>
          <w:b/>
          <w:sz w:val="28"/>
          <w:szCs w:val="28"/>
        </w:rPr>
        <w:t xml:space="preserve"> </w:t>
      </w:r>
      <w:r w:rsidR="000611C6" w:rsidRPr="00E913CF">
        <w:rPr>
          <w:rFonts w:ascii="Arial" w:hAnsi="Arial" w:cs="Arial"/>
          <w:b/>
          <w:sz w:val="28"/>
          <w:szCs w:val="28"/>
        </w:rPr>
        <w:t>–</w:t>
      </w:r>
      <w:r w:rsidR="000611C6">
        <w:rPr>
          <w:rFonts w:ascii="Arial" w:hAnsi="Arial" w:cs="Arial"/>
          <w:b/>
          <w:sz w:val="28"/>
          <w:szCs w:val="28"/>
        </w:rPr>
        <w:t xml:space="preserve"> </w:t>
      </w:r>
      <w:r>
        <w:rPr>
          <w:rFonts w:ascii="Arial" w:hAnsi="Arial" w:cs="Arial"/>
          <w:b/>
          <w:sz w:val="28"/>
          <w:szCs w:val="28"/>
        </w:rPr>
        <w:t>22</w:t>
      </w:r>
      <w:r>
        <w:rPr>
          <w:rFonts w:ascii="Arial" w:hAnsi="Arial" w:cs="Arial"/>
          <w:b/>
          <w:sz w:val="28"/>
          <w:szCs w:val="28"/>
          <w:vertAlign w:val="superscript"/>
        </w:rPr>
        <w:t>nd</w:t>
      </w:r>
      <w:r w:rsidR="000611C6" w:rsidRPr="00E913CF">
        <w:rPr>
          <w:rFonts w:ascii="Arial" w:hAnsi="Arial" w:cs="Arial"/>
          <w:b/>
          <w:sz w:val="28"/>
          <w:szCs w:val="28"/>
        </w:rPr>
        <w:t xml:space="preserve">, </w:t>
      </w:r>
      <w:r>
        <w:rPr>
          <w:rFonts w:ascii="Arial" w:hAnsi="Arial" w:cs="Arial"/>
          <w:b/>
          <w:sz w:val="28"/>
          <w:szCs w:val="28"/>
        </w:rPr>
        <w:t>2024</w:t>
      </w:r>
    </w:p>
    <w:p w14:paraId="75334291" w14:textId="77777777" w:rsidR="000611C6" w:rsidRPr="000D3066" w:rsidRDefault="000611C6" w:rsidP="000611C6">
      <w:pPr>
        <w:pStyle w:val="NoSpacing"/>
        <w:contextualSpacing/>
        <w:jc w:val="both"/>
        <w:rPr>
          <w:rFonts w:ascii="Arial" w:hAnsi="Arial" w:cs="Arial"/>
          <w:b/>
          <w:sz w:val="24"/>
          <w:szCs w:val="24"/>
          <w:lang w:eastAsia="zh-CN"/>
        </w:rPr>
      </w:pPr>
    </w:p>
    <w:p w14:paraId="4A8D9A0E" w14:textId="77777777" w:rsidR="000611C6" w:rsidRPr="000D3066" w:rsidRDefault="000611C6" w:rsidP="000611C6">
      <w:pPr>
        <w:pStyle w:val="NoSpacing"/>
        <w:contextualSpacing/>
        <w:jc w:val="both"/>
        <w:rPr>
          <w:rFonts w:ascii="Arial" w:hAnsi="Arial" w:cs="Arial"/>
          <w:b/>
          <w:sz w:val="24"/>
          <w:szCs w:val="24"/>
          <w:lang w:eastAsia="zh-CN"/>
        </w:rPr>
      </w:pPr>
    </w:p>
    <w:p w14:paraId="355BDBC9" w14:textId="379B51F1" w:rsidR="000611C6" w:rsidRPr="00043070" w:rsidRDefault="000611C6" w:rsidP="000611C6">
      <w:pPr>
        <w:pStyle w:val="NoSpacing"/>
        <w:contextualSpacing/>
        <w:jc w:val="both"/>
        <w:rPr>
          <w:rFonts w:ascii="Arial" w:hAnsi="Arial" w:cs="Arial"/>
          <w:b/>
          <w:sz w:val="24"/>
          <w:szCs w:val="24"/>
          <w:lang w:val="en-GB" w:eastAsia="zh-CN"/>
        </w:rPr>
      </w:pPr>
      <w:r w:rsidRPr="00043070">
        <w:rPr>
          <w:rFonts w:ascii="Arial" w:hAnsi="Arial" w:cs="Arial"/>
          <w:b/>
          <w:sz w:val="24"/>
          <w:szCs w:val="24"/>
          <w:lang w:val="en-GB"/>
        </w:rPr>
        <w:t>Agenda Item:</w:t>
      </w:r>
      <w:r w:rsidRPr="00043070">
        <w:rPr>
          <w:rFonts w:ascii="Arial" w:hAnsi="Arial" w:cs="Arial"/>
          <w:b/>
          <w:sz w:val="24"/>
          <w:szCs w:val="24"/>
          <w:lang w:val="en-GB"/>
        </w:rPr>
        <w:tab/>
      </w:r>
      <w:r w:rsidRPr="00043070">
        <w:rPr>
          <w:rFonts w:ascii="Arial" w:hAnsi="Arial" w:cs="Arial"/>
          <w:b/>
          <w:sz w:val="24"/>
          <w:szCs w:val="24"/>
          <w:lang w:val="en-GB"/>
        </w:rPr>
        <w:tab/>
      </w:r>
      <w:r w:rsidR="00043070" w:rsidRPr="00043070">
        <w:rPr>
          <w:rFonts w:ascii="Arial" w:hAnsi="Arial" w:cs="Arial"/>
          <w:b/>
          <w:sz w:val="24"/>
          <w:szCs w:val="24"/>
          <w:lang w:val="en-GB"/>
        </w:rPr>
        <w:t>7.12.2.2</w:t>
      </w:r>
    </w:p>
    <w:p w14:paraId="200B798D" w14:textId="0B721D92" w:rsidR="000611C6" w:rsidRPr="00043070" w:rsidRDefault="000611C6" w:rsidP="000611C6">
      <w:pPr>
        <w:pStyle w:val="NoSpacing"/>
        <w:contextualSpacing/>
        <w:jc w:val="both"/>
        <w:rPr>
          <w:rFonts w:ascii="Arial" w:eastAsia="SimSun" w:hAnsi="Arial" w:cs="Arial"/>
          <w:b/>
          <w:sz w:val="24"/>
          <w:szCs w:val="24"/>
          <w:lang w:val="en-GB"/>
        </w:rPr>
      </w:pPr>
      <w:r w:rsidRPr="00043070">
        <w:rPr>
          <w:rFonts w:ascii="Arial" w:hAnsi="Arial" w:cs="Arial"/>
          <w:b/>
          <w:sz w:val="24"/>
          <w:szCs w:val="24"/>
          <w:lang w:val="en-GB"/>
        </w:rPr>
        <w:t>Source:</w:t>
      </w:r>
      <w:r w:rsidRPr="00043070">
        <w:rPr>
          <w:rFonts w:ascii="Arial" w:hAnsi="Arial" w:cs="Arial"/>
          <w:b/>
          <w:sz w:val="24"/>
          <w:szCs w:val="24"/>
          <w:lang w:val="en-GB"/>
        </w:rPr>
        <w:tab/>
      </w:r>
      <w:r w:rsidRPr="00043070">
        <w:rPr>
          <w:rFonts w:ascii="Arial" w:hAnsi="Arial" w:cs="Arial"/>
          <w:b/>
          <w:sz w:val="24"/>
          <w:szCs w:val="24"/>
          <w:lang w:val="en-GB"/>
        </w:rPr>
        <w:tab/>
      </w:r>
      <w:r w:rsidRPr="00043070">
        <w:rPr>
          <w:rFonts w:ascii="Arial" w:hAnsi="Arial" w:cs="Arial"/>
          <w:b/>
          <w:sz w:val="24"/>
          <w:szCs w:val="24"/>
          <w:lang w:val="en-GB"/>
        </w:rPr>
        <w:tab/>
      </w:r>
      <w:r w:rsidRPr="00043070">
        <w:rPr>
          <w:rFonts w:ascii="Arial" w:hAnsi="Arial" w:cs="Arial"/>
          <w:b/>
          <w:sz w:val="24"/>
          <w:szCs w:val="24"/>
          <w:lang w:val="en-GB"/>
        </w:rPr>
        <w:tab/>
        <w:t>Inmarsat</w:t>
      </w:r>
      <w:r w:rsidR="00C34DFF" w:rsidRPr="00043070">
        <w:rPr>
          <w:rFonts w:ascii="Arial" w:hAnsi="Arial" w:cs="Arial"/>
          <w:b/>
          <w:sz w:val="24"/>
          <w:szCs w:val="24"/>
          <w:lang w:val="en-GB"/>
        </w:rPr>
        <w:t>, Viasat</w:t>
      </w:r>
    </w:p>
    <w:p w14:paraId="7342CD4B" w14:textId="68B4EA71" w:rsidR="000611C6" w:rsidRDefault="000611C6" w:rsidP="000611C6">
      <w:pPr>
        <w:pStyle w:val="NoSpacing"/>
        <w:ind w:left="2010" w:hanging="2010"/>
        <w:contextualSpacing/>
        <w:jc w:val="both"/>
        <w:rPr>
          <w:rFonts w:ascii="Arial"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043070">
        <w:rPr>
          <w:rFonts w:ascii="Arial" w:hAnsi="Arial" w:cs="Arial"/>
          <w:b/>
          <w:sz w:val="24"/>
          <w:szCs w:val="24"/>
        </w:rPr>
        <w:t>OTA Conformance Testing with Circular Polarisation</w:t>
      </w:r>
    </w:p>
    <w:p w14:paraId="4CEEEC51" w14:textId="5CACBC4A" w:rsidR="000611C6" w:rsidRPr="00BE3228" w:rsidRDefault="000611C6" w:rsidP="00BE3228">
      <w:pPr>
        <w:pStyle w:val="NoSpacing"/>
        <w:ind w:left="2010" w:hanging="2010"/>
        <w:contextualSpacing/>
        <w:jc w:val="both"/>
        <w:rPr>
          <w:rFonts w:ascii="Arial"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043070">
        <w:rPr>
          <w:rFonts w:ascii="Arial" w:hAnsi="Arial" w:cs="Arial"/>
          <w:b/>
          <w:sz w:val="24"/>
          <w:szCs w:val="24"/>
        </w:rPr>
        <w:t>Discussion</w:t>
      </w:r>
    </w:p>
    <w:p w14:paraId="0716D6BA" w14:textId="6B752EE4" w:rsidR="00F05D8A" w:rsidRDefault="00F05D8A" w:rsidP="00F05D8A">
      <w:pPr>
        <w:pStyle w:val="Heading1"/>
        <w:numPr>
          <w:ilvl w:val="0"/>
          <w:numId w:val="8"/>
        </w:numPr>
      </w:pPr>
      <w:r>
        <w:t>Background</w:t>
      </w:r>
    </w:p>
    <w:p w14:paraId="5B2ADC26" w14:textId="3EA535E0" w:rsidR="00F05D8A" w:rsidRDefault="00F05D8A" w:rsidP="00F05D8A">
      <w:r>
        <w:t>The intent of this paper is to provide insight into the real-world satellite communication OTA characteristics, and to highlight the need for Circular Polarisation (CP) testing within the OTA specifications.</w:t>
      </w:r>
    </w:p>
    <w:p w14:paraId="11B14B66" w14:textId="2E1B9704" w:rsidR="00F05D8A" w:rsidRDefault="00F05D8A" w:rsidP="00F05D8A">
      <w:pPr>
        <w:pStyle w:val="Heading1"/>
        <w:numPr>
          <w:ilvl w:val="0"/>
          <w:numId w:val="8"/>
        </w:numPr>
      </w:pPr>
      <w:r>
        <w:t>Existing Systems</w:t>
      </w:r>
    </w:p>
    <w:p w14:paraId="24F8958C" w14:textId="10F7A6E0" w:rsidR="00F05D8A" w:rsidRDefault="00F05D8A" w:rsidP="00F05D8A">
      <w:r>
        <w:t>Currently all FR1 satellite systems operate with a satellite antenna using right-hand-circular-polarisation (RHCP) or left-hand-circular-polarisation (LHCP).</w:t>
      </w:r>
    </w:p>
    <w:p w14:paraId="5DCE4CF1" w14:textId="03097010" w:rsidR="000A286D" w:rsidRDefault="00D870F8" w:rsidP="00F05D8A">
      <w:r>
        <w:t>Th</w:t>
      </w:r>
      <w:r w:rsidR="00E431AE">
        <w:t xml:space="preserve">is is desirable, since the orientation of the satellite with respect to the UE is not entirely predictable, so using a purely linear satellite antenna would result in some loss. In addition, when radio signals propagate through a </w:t>
      </w:r>
      <w:r w:rsidR="004B6223">
        <w:t>satellite communications link, the signal may experience some rotation e.g. Faraday rotation in the ionosphere.</w:t>
      </w:r>
    </w:p>
    <w:p w14:paraId="36028676" w14:textId="5B7C1627" w:rsidR="000A286D" w:rsidRPr="000A286D" w:rsidRDefault="00B90333" w:rsidP="00B90333">
      <w:pPr>
        <w:pStyle w:val="Caption"/>
      </w:pPr>
      <w:bookmarkStart w:id="2" w:name="_Toc181285302"/>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0A286D" w:rsidRPr="00B90333">
        <w:t>Most current FR1 satellite communications systems use circular polarisation in order to remove the unpredictability of signal phase rotation in the satellite communications link.</w:t>
      </w:r>
      <w:bookmarkEnd w:id="2"/>
    </w:p>
    <w:p w14:paraId="39517D02" w14:textId="4A56FB8C" w:rsidR="00B919C7" w:rsidRDefault="00B919C7" w:rsidP="00F05D8A">
      <w:r>
        <w:t xml:space="preserve">Antenna systems operating on one </w:t>
      </w:r>
      <w:r w:rsidR="000A286D">
        <w:t xml:space="preserve">circular </w:t>
      </w:r>
      <w:r>
        <w:t>polarisation intrinsically reject systems operating on the opposite polarisation. This helps with frequency reuse</w:t>
      </w:r>
      <w:r w:rsidR="00436DC9">
        <w:t xml:space="preserve"> and co-channel interference</w:t>
      </w:r>
      <w:r>
        <w:t>, since you can in theory operate two systems on the same frequency, provided that the circular polarisation of the Tx and Rx antennas are of sufficient quality as to provide sufficient rejection of the opposite polarisation. This rejection is characterised by the axial ratio, which is discussed in a later section.</w:t>
      </w:r>
    </w:p>
    <w:p w14:paraId="10C80E19" w14:textId="37717014" w:rsidR="00E04602" w:rsidRDefault="00B919C7" w:rsidP="00F05D8A">
      <w:r>
        <w:t>In addition</w:t>
      </w:r>
      <w:r w:rsidR="00E04602">
        <w:t xml:space="preserve">, </w:t>
      </w:r>
      <w:r w:rsidR="00F11A57">
        <w:t xml:space="preserve">every time a circularly polarised signal is reflected it </w:t>
      </w:r>
      <w:r w:rsidR="00BE5331">
        <w:t xml:space="preserve">reverses the polarisation. E.g. in a multipath scenario if an RHCP signal is reflected, </w:t>
      </w:r>
      <w:r>
        <w:t>it becomes an LHCP signal.</w:t>
      </w:r>
      <w:r w:rsidR="00A73E5E">
        <w:t xml:space="preserve"> The rejection of opposite polarisations helps make systems which are multipath resilient intrinsically</w:t>
      </w:r>
      <w:r w:rsidR="00436DC9">
        <w:t>.</w:t>
      </w:r>
    </w:p>
    <w:p w14:paraId="2FECDC00" w14:textId="627D4E59" w:rsidR="000A286D" w:rsidRPr="00B90333" w:rsidRDefault="00B90333" w:rsidP="00B90333">
      <w:pPr>
        <w:pStyle w:val="Caption"/>
      </w:pPr>
      <w:bookmarkStart w:id="3" w:name="_Toc181285303"/>
      <w:r w:rsidRPr="00B90333">
        <w:t xml:space="preserve">Observation </w:t>
      </w:r>
      <w:r w:rsidRPr="00B90333">
        <w:fldChar w:fldCharType="begin"/>
      </w:r>
      <w:r w:rsidRPr="00B90333">
        <w:instrText xml:space="preserve"> SEQ Observation \* ARABIC </w:instrText>
      </w:r>
      <w:r w:rsidRPr="00B90333">
        <w:fldChar w:fldCharType="separate"/>
      </w:r>
      <w:r>
        <w:rPr>
          <w:noProof/>
        </w:rPr>
        <w:t>2</w:t>
      </w:r>
      <w:r w:rsidRPr="00B90333">
        <w:fldChar w:fldCharType="end"/>
      </w:r>
      <w:r w:rsidR="000A286D" w:rsidRPr="00B90333">
        <w:t>: Cross-circular-polarisation isolation can be used to provide isolation between satellite systems operating on the same / adjacent frequency bands,</w:t>
      </w:r>
      <w:r w:rsidR="0088346C" w:rsidRPr="00B90333">
        <w:t xml:space="preserve"> and can provide multipath rejection.</w:t>
      </w:r>
      <w:bookmarkEnd w:id="3"/>
    </w:p>
    <w:p w14:paraId="18E780E9" w14:textId="3716C5C1" w:rsidR="00784922" w:rsidRDefault="00784922" w:rsidP="00F05D8A">
      <w:r>
        <w:t xml:space="preserve">Fundamentally, </w:t>
      </w:r>
      <w:r w:rsidR="00B12E1C">
        <w:t xml:space="preserve">if a perfectly linear UE antenna is used with a </w:t>
      </w:r>
      <w:r w:rsidR="00510138">
        <w:t xml:space="preserve">perfectly </w:t>
      </w:r>
      <w:r w:rsidR="00B12E1C">
        <w:t>circularly polarised satellite antenna, the</w:t>
      </w:r>
      <w:r w:rsidR="00510138">
        <w:t xml:space="preserve">re will be a 3dB loss experienced at both ends of the link i.e. when at the UE antenna terminals there will </w:t>
      </w:r>
      <w:r w:rsidR="00412E1D">
        <w:t>be 3dB less power</w:t>
      </w:r>
      <w:r w:rsidR="00092C6F">
        <w:t>, and at the satellite antenna terminals there will be 3dB less power. This addresses a fundamental issue with the coupling of linear and circular polarisations antenna systems.</w:t>
      </w:r>
    </w:p>
    <w:p w14:paraId="56EDD17D" w14:textId="03295725" w:rsidR="0088346C" w:rsidRPr="0088346C" w:rsidRDefault="00B90333" w:rsidP="00B90333">
      <w:pPr>
        <w:pStyle w:val="Caption"/>
      </w:pPr>
      <w:bookmarkStart w:id="4" w:name="_Toc181285304"/>
      <w:r>
        <w:t xml:space="preserve">Observation </w:t>
      </w:r>
      <w:r>
        <w:fldChar w:fldCharType="begin"/>
      </w:r>
      <w:r>
        <w:instrText xml:space="preserve"> SEQ Observation \* ARABIC </w:instrText>
      </w:r>
      <w:r>
        <w:fldChar w:fldCharType="separate"/>
      </w:r>
      <w:r>
        <w:rPr>
          <w:noProof/>
        </w:rPr>
        <w:t>3</w:t>
      </w:r>
      <w:r>
        <w:fldChar w:fldCharType="end"/>
      </w:r>
      <w:r>
        <w:t>:</w:t>
      </w:r>
      <w:r w:rsidRPr="00B90333">
        <w:t xml:space="preserve"> </w:t>
      </w:r>
      <w:r w:rsidR="0088346C" w:rsidRPr="00B90333">
        <w:t>A linear antenna can experience up to 3dB degradation in performance when receiving a circularly polarised signal.</w:t>
      </w:r>
      <w:bookmarkEnd w:id="4"/>
    </w:p>
    <w:p w14:paraId="3FD98C28" w14:textId="368E8DAA" w:rsidR="000655D6" w:rsidRDefault="000655D6" w:rsidP="000655D6">
      <w:pPr>
        <w:pStyle w:val="Heading2"/>
        <w:numPr>
          <w:ilvl w:val="1"/>
          <w:numId w:val="8"/>
        </w:numPr>
      </w:pPr>
      <w:r>
        <w:t>Axial Ratio</w:t>
      </w:r>
    </w:p>
    <w:p w14:paraId="031422FA" w14:textId="4A4761BF" w:rsidR="000655D6" w:rsidRDefault="000655D6" w:rsidP="000655D6">
      <w:r>
        <w:t xml:space="preserve">Current satellite systems use axial ratio to characterise the circular polarisation quality of </w:t>
      </w:r>
      <w:r w:rsidR="00F84466">
        <w:t xml:space="preserve">the antenna. </w:t>
      </w:r>
    </w:p>
    <w:p w14:paraId="3874BA3C" w14:textId="724AFECB" w:rsidR="00092C6F" w:rsidRDefault="00386666" w:rsidP="000655D6">
      <w:r>
        <w:t xml:space="preserve">Axial ratio is calculated </w:t>
      </w:r>
      <w:r w:rsidR="003B3E46">
        <w:t>from the following equation:</w:t>
      </w:r>
    </w:p>
    <w:p w14:paraId="4D95A7CA" w14:textId="21DDC65E" w:rsidR="003B3E46" w:rsidRPr="00F26C41" w:rsidRDefault="00BE3228" w:rsidP="000655D6">
      <m:oMathPara>
        <m:oMath>
          <m:sSub>
            <m:sSubPr>
              <m:ctrlPr>
                <w:rPr>
                  <w:rFonts w:ascii="Cambria Math" w:hAnsi="Cambria Math"/>
                  <w:i/>
                </w:rPr>
              </m:ctrlPr>
            </m:sSubPr>
            <m:e>
              <m:r>
                <w:rPr>
                  <w:rFonts w:ascii="Cambria Math" w:hAnsi="Cambria Math"/>
                </w:rPr>
                <m:t>AR</m:t>
              </m:r>
            </m:e>
            <m:sub>
              <m:r>
                <w:rPr>
                  <w:rFonts w:ascii="Cambria Math" w:hAnsi="Cambria Math"/>
                </w:rPr>
                <m:t>dB</m:t>
              </m:r>
            </m:sub>
          </m:sSub>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co-pol</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x-pol</m:t>
              </m:r>
            </m:sub>
          </m:sSub>
        </m:oMath>
      </m:oMathPara>
    </w:p>
    <w:p w14:paraId="7592B655" w14:textId="05E5A08E" w:rsidR="00F26C41" w:rsidRDefault="00BE3228" w:rsidP="000655D6">
      <m:oMath>
        <m:sSub>
          <m:sSubPr>
            <m:ctrlPr>
              <w:rPr>
                <w:rFonts w:ascii="Cambria Math" w:hAnsi="Cambria Math"/>
                <w:i/>
              </w:rPr>
            </m:ctrlPr>
          </m:sSubPr>
          <m:e>
            <m:r>
              <w:rPr>
                <w:rFonts w:ascii="Cambria Math" w:hAnsi="Cambria Math"/>
              </w:rPr>
              <m:t>G</m:t>
            </m:r>
          </m:e>
          <m:sub>
            <m:r>
              <w:rPr>
                <w:rFonts w:ascii="Cambria Math" w:hAnsi="Cambria Math"/>
              </w:rPr>
              <m:t>co-pol</m:t>
            </m:r>
          </m:sub>
        </m:sSub>
      </m:oMath>
      <w:r w:rsidR="00F26C41">
        <w:t xml:space="preserve"> being the gain of the antenna when operating at the desired circular polarisation</w:t>
      </w:r>
    </w:p>
    <w:p w14:paraId="300D7261" w14:textId="1271C951" w:rsidR="00F26C41" w:rsidRDefault="00BE3228" w:rsidP="000655D6">
      <m:oMath>
        <m:sSub>
          <m:sSubPr>
            <m:ctrlPr>
              <w:rPr>
                <w:rFonts w:ascii="Cambria Math" w:hAnsi="Cambria Math"/>
                <w:i/>
              </w:rPr>
            </m:ctrlPr>
          </m:sSubPr>
          <m:e>
            <m:r>
              <w:rPr>
                <w:rFonts w:ascii="Cambria Math" w:hAnsi="Cambria Math"/>
              </w:rPr>
              <m:t>G</m:t>
            </m:r>
          </m:e>
          <m:sub>
            <m:r>
              <w:rPr>
                <w:rFonts w:ascii="Cambria Math" w:hAnsi="Cambria Math"/>
              </w:rPr>
              <m:t>x-pol</m:t>
            </m:r>
          </m:sub>
        </m:sSub>
      </m:oMath>
      <w:r w:rsidR="00F26C41">
        <w:t xml:space="preserve"> being the gain of the antenna when operating at the non-desired circular polarisation</w:t>
      </w:r>
    </w:p>
    <w:p w14:paraId="28780102" w14:textId="37C7453A" w:rsidR="00095A52" w:rsidRDefault="00AD4B54" w:rsidP="000655D6">
      <w:r>
        <w:lastRenderedPageBreak/>
        <w:t>When expressed in</w:t>
      </w:r>
      <w:r w:rsidR="00095A52">
        <w:t xml:space="preserve"> dB, the lower the Axial Ratio value (preferably negative)</w:t>
      </w:r>
      <w:r>
        <w:t xml:space="preserve"> the greater the rejection of opposite polarisation signals. </w:t>
      </w:r>
    </w:p>
    <w:p w14:paraId="22DB4F29" w14:textId="35A14D43" w:rsidR="001760E7" w:rsidRDefault="001760E7" w:rsidP="000655D6">
      <w:r>
        <w:t>This is called cross polarisation discrimination (XPD) and is calculated using the following equation:</w:t>
      </w:r>
    </w:p>
    <w:p w14:paraId="7D1F9ADA" w14:textId="7D5F9C88" w:rsidR="001760E7" w:rsidRPr="00D34571" w:rsidRDefault="001760E7" w:rsidP="000655D6">
      <m:oMathPara>
        <m:oMath>
          <m:r>
            <w:rPr>
              <w:rFonts w:ascii="Cambria Math" w:hAnsi="Cambria Math"/>
            </w:rPr>
            <m:t>XPD=20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r+1</m:t>
                  </m:r>
                </m:num>
                <m:den>
                  <m:r>
                    <w:rPr>
                      <w:rFonts w:ascii="Cambria Math" w:hAnsi="Cambria Math"/>
                    </w:rPr>
                    <m:t>r-1</m:t>
                  </m:r>
                </m:den>
              </m:f>
            </m:e>
          </m:d>
        </m:oMath>
      </m:oMathPara>
    </w:p>
    <w:p w14:paraId="3D244D22" w14:textId="315E6C54" w:rsidR="00D34571" w:rsidRDefault="00D34571" w:rsidP="000655D6">
      <m:oMath>
        <m:r>
          <w:rPr>
            <w:rFonts w:ascii="Cambria Math" w:hAnsi="Cambria Math"/>
          </w:rPr>
          <m:t>r</m:t>
        </m:r>
      </m:oMath>
      <w:r>
        <w:t xml:space="preserve"> is the axial ratio expressed in linear terms</w:t>
      </w:r>
      <w:r w:rsidR="000B7453">
        <w:t xml:space="preserve"> and XPD is returned in dB. This provides the exact rejection an antenna of one circular polarisation scheme would have to the reception of a signal on the opposite scheme.</w:t>
      </w:r>
    </w:p>
    <w:p w14:paraId="464A1711" w14:textId="1C9A0505" w:rsidR="000B7453" w:rsidRDefault="000B7453" w:rsidP="000655D6">
      <w:r>
        <w:t>As can be seen, for an antenna with an linear AR of 0, the XPD would be in theory infinite.</w:t>
      </w:r>
    </w:p>
    <w:p w14:paraId="74B5525B" w14:textId="2AF2C63A" w:rsidR="00E4487C" w:rsidRPr="00E4487C" w:rsidRDefault="00B90333" w:rsidP="00B90333">
      <w:pPr>
        <w:pStyle w:val="Caption"/>
      </w:pPr>
      <w:bookmarkStart w:id="5" w:name="_Toc181285305"/>
      <w:r>
        <w:t xml:space="preserve">Observation </w:t>
      </w:r>
      <w:r>
        <w:fldChar w:fldCharType="begin"/>
      </w:r>
      <w:r>
        <w:instrText xml:space="preserve"> SEQ Observation \* ARABIC </w:instrText>
      </w:r>
      <w:r>
        <w:fldChar w:fldCharType="separate"/>
      </w:r>
      <w:r>
        <w:rPr>
          <w:noProof/>
        </w:rPr>
        <w:t>4</w:t>
      </w:r>
      <w:r>
        <w:fldChar w:fldCharType="end"/>
      </w:r>
      <w:r>
        <w:t xml:space="preserve">: </w:t>
      </w:r>
      <w:r w:rsidR="00E4487C" w:rsidRPr="00B90333">
        <w:t>Axial ratio metric is used to assess the rejection of the opposite circular polarisation signals, and XPD can characterise the exact isolation between polarisations.</w:t>
      </w:r>
      <w:bookmarkEnd w:id="5"/>
    </w:p>
    <w:p w14:paraId="089B776E" w14:textId="10C5A1A1" w:rsidR="00F26C41" w:rsidRDefault="00363755" w:rsidP="00363755">
      <w:pPr>
        <w:pStyle w:val="Heading2"/>
        <w:numPr>
          <w:ilvl w:val="1"/>
          <w:numId w:val="8"/>
        </w:numPr>
      </w:pPr>
      <w:r>
        <w:t>Linear Antennas</w:t>
      </w:r>
    </w:p>
    <w:p w14:paraId="2AA35F21" w14:textId="403381F5" w:rsidR="00363755" w:rsidRDefault="00AE3FF7" w:rsidP="00363755">
      <w:r>
        <w:t>Linear antennas also reject circularly polarised signals</w:t>
      </w:r>
      <w:r w:rsidR="000B7453">
        <w:t xml:space="preserve">, </w:t>
      </w:r>
      <w:r w:rsidR="009105DC">
        <w:t>circularly polarised antennas have two orthogonal components, one at 0 degrees and another at +/-90 degrees depending on whether RHCP / LHCP is used.</w:t>
      </w:r>
    </w:p>
    <w:p w14:paraId="30C8D647" w14:textId="1E1F7FAE" w:rsidR="009105DC" w:rsidRDefault="00ED4727" w:rsidP="00363755">
      <w:r>
        <w:t xml:space="preserve">As a result, the maximum misalignment a linear polarised antenna can be from these orthogonal components is 45 degrees. </w:t>
      </w:r>
      <w:r w:rsidR="000931C4">
        <w:t>This</w:t>
      </w:r>
      <w:r>
        <w:t xml:space="preserve"> results in a </w:t>
      </w:r>
      <w:r w:rsidR="000931C4">
        <w:t xml:space="preserve">maximum </w:t>
      </w:r>
      <w:r>
        <w:t>polarisation loss of 3dB</w:t>
      </w:r>
      <w:r w:rsidR="00EE01D1">
        <w:t>:</w:t>
      </w:r>
    </w:p>
    <w:p w14:paraId="3ED8FF0A" w14:textId="77F4590C" w:rsidR="00EE01D1" w:rsidRPr="007B4094" w:rsidRDefault="00BE3228" w:rsidP="00363755">
      <m:oMathPara>
        <m:oMath>
          <m:sSub>
            <m:sSubPr>
              <m:ctrlPr>
                <w:rPr>
                  <w:rFonts w:ascii="Cambria Math" w:hAnsi="Cambria Math"/>
                  <w:i/>
                </w:rPr>
              </m:ctrlPr>
            </m:sSubPr>
            <m:e>
              <m:r>
                <w:rPr>
                  <w:rFonts w:ascii="Cambria Math" w:hAnsi="Cambria Math"/>
                </w:rPr>
                <m:t>Pol Loss</m:t>
              </m:r>
            </m:e>
            <m:sub>
              <m:r>
                <w:rPr>
                  <w:rFonts w:ascii="Cambria Math" w:hAnsi="Cambria Math"/>
                </w:rPr>
                <m:t>dB</m:t>
              </m:r>
            </m:sub>
          </m:sSub>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m:rPr>
                  <m:sty m:val="p"/>
                </m:rPr>
                <w:rPr>
                  <w:rFonts w:ascii="Cambria Math" w:hAnsi="Cambria Math"/>
                </w:rPr>
                <m:t>cos⁡</m:t>
              </m:r>
              <m:r>
                <w:rPr>
                  <w:rFonts w:ascii="Cambria Math" w:hAnsi="Cambria Math"/>
                </w:rPr>
                <m:t>(θ)</m:t>
              </m:r>
            </m:e>
          </m:d>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m:rPr>
                  <m:sty m:val="p"/>
                </m:rPr>
                <w:rPr>
                  <w:rFonts w:ascii="Cambria Math" w:hAnsi="Cambria Math"/>
                </w:rPr>
                <m:t>cos⁡</m:t>
              </m:r>
              <m:r>
                <w:rPr>
                  <w:rFonts w:ascii="Cambria Math" w:hAnsi="Cambria Math"/>
                </w:rPr>
                <m:t>(45)</m:t>
              </m:r>
            </m:e>
          </m:d>
          <m:r>
            <w:rPr>
              <w:rFonts w:ascii="Cambria Math" w:hAnsi="Cambria Math"/>
            </w:rPr>
            <m:t>=3dB</m:t>
          </m:r>
        </m:oMath>
      </m:oMathPara>
    </w:p>
    <w:p w14:paraId="759F66D7" w14:textId="0F996D92" w:rsidR="00E4487C" w:rsidRPr="00BB387B" w:rsidRDefault="007B3233" w:rsidP="00363755">
      <w:r>
        <w:t xml:space="preserve">Much like a circular polarisation antenna will not be perfectly circular, a linear antenna will not be perfectly linear. This means a loss of up to 3dB can be associated with any linear antenna, depending on the quality of the </w:t>
      </w:r>
      <w:r w:rsidR="003E29EF">
        <w:t>linear polarisation characteristics of the antenna</w:t>
      </w:r>
      <w:r w:rsidR="00BB387B">
        <w:t>.</w:t>
      </w:r>
    </w:p>
    <w:p w14:paraId="2DFB65A4" w14:textId="39D1A464" w:rsidR="007B4094" w:rsidRDefault="007B4094" w:rsidP="007B4094">
      <w:pPr>
        <w:pStyle w:val="Heading1"/>
        <w:numPr>
          <w:ilvl w:val="0"/>
          <w:numId w:val="8"/>
        </w:numPr>
      </w:pPr>
      <w:r>
        <w:t>Test Metrics &amp; Rationale</w:t>
      </w:r>
    </w:p>
    <w:p w14:paraId="07183325" w14:textId="391BC482" w:rsidR="00DB62B2" w:rsidRDefault="004836E8" w:rsidP="004836E8">
      <w:r>
        <w:t xml:space="preserve">Mobile handsets traditionally use linear polarised antennas. For TN operation they do not operate in as much of a link constrained environment when compared with NTN. </w:t>
      </w:r>
      <w:r w:rsidR="00BD7060">
        <w:t xml:space="preserve">In NTN applications, 0.1dB is usually fought over, let alone 3dB which is the anticipated maximum polarisation loss a linear handset may experience when </w:t>
      </w:r>
      <w:r w:rsidR="00D24209">
        <w:t>operating over a circularly polarised satellite.</w:t>
      </w:r>
    </w:p>
    <w:p w14:paraId="72F0B798" w14:textId="01DC3795" w:rsidR="00BB387B" w:rsidRPr="00B90333" w:rsidRDefault="00B90333" w:rsidP="00B90333">
      <w:pPr>
        <w:pStyle w:val="Caption"/>
      </w:pPr>
      <w:bookmarkStart w:id="6" w:name="_Toc181285306"/>
      <w:r w:rsidRPr="00B90333">
        <w:t xml:space="preserve">Observation </w:t>
      </w:r>
      <w:r w:rsidRPr="00B90333">
        <w:fldChar w:fldCharType="begin"/>
      </w:r>
      <w:r w:rsidRPr="00B90333">
        <w:instrText xml:space="preserve"> SEQ Observation \* ARABIC </w:instrText>
      </w:r>
      <w:r w:rsidRPr="00B90333">
        <w:fldChar w:fldCharType="separate"/>
      </w:r>
      <w:r>
        <w:rPr>
          <w:noProof/>
        </w:rPr>
        <w:t>5</w:t>
      </w:r>
      <w:r w:rsidRPr="00B90333">
        <w:fldChar w:fldCharType="end"/>
      </w:r>
      <w:r w:rsidR="00BB387B" w:rsidRPr="00B90333">
        <w:t>: NTN devices are much more link constrained than TN devices, so taking an ‘up-to 3dB’ loss or gain in performance is significant and should be characterised in order to assess real world performance.</w:t>
      </w:r>
      <w:bookmarkEnd w:id="6"/>
    </w:p>
    <w:p w14:paraId="3B017C37" w14:textId="55903FAE" w:rsidR="00D24209" w:rsidRDefault="00DB62B2" w:rsidP="00D24209">
      <w:r>
        <w:t xml:space="preserve">We propose to use circular polarisation test antennas in order to assess the conformance of UEs to the performance metrics specified in the </w:t>
      </w:r>
      <w:r w:rsidR="00D24209">
        <w:t xml:space="preserve">Rel-19 </w:t>
      </w:r>
      <w:r>
        <w:t>OTA work item for NTN.</w:t>
      </w:r>
      <w:r w:rsidR="00BD7060">
        <w:t xml:space="preserve"> The rationale for this is two-fold. Consider the following scenarios</w:t>
      </w:r>
      <w:r w:rsidR="00D24209">
        <w:t xml:space="preserve"> in which a </w:t>
      </w:r>
      <w:r w:rsidR="00961A05">
        <w:t>linear test antenna is used to assess the AUT (antenna/device under test):</w:t>
      </w:r>
    </w:p>
    <w:p w14:paraId="40C32FE1" w14:textId="7BED7672" w:rsidR="00961A05" w:rsidRDefault="00961A05" w:rsidP="00961A05">
      <w:pPr>
        <w:pStyle w:val="ListParagraph"/>
        <w:numPr>
          <w:ilvl w:val="0"/>
          <w:numId w:val="10"/>
        </w:numPr>
      </w:pPr>
      <w:r>
        <w:t xml:space="preserve">The AUT is linear </w:t>
      </w:r>
      <w:r w:rsidR="00601C9F">
        <w:t xml:space="preserve">– the results of the OTA testing of the AUT would yield improvements of up to 3dB when compared to the real world performance of the device </w:t>
      </w:r>
      <w:r w:rsidR="00A16681">
        <w:t>when operating over a circularly polarised satellite system</w:t>
      </w:r>
    </w:p>
    <w:p w14:paraId="4AAEBA10" w14:textId="79497A7F" w:rsidR="00DA0EC0" w:rsidRDefault="0025482F" w:rsidP="0025482F">
      <w:pPr>
        <w:pStyle w:val="ListParagraph"/>
        <w:numPr>
          <w:ilvl w:val="1"/>
          <w:numId w:val="10"/>
        </w:numPr>
      </w:pPr>
      <w:r>
        <w:t>In the link constrained satcom environment, we cannot accept a real-world degradation of up to 3d</w:t>
      </w:r>
      <w:r w:rsidR="00E04E59">
        <w:t>B</w:t>
      </w:r>
    </w:p>
    <w:p w14:paraId="355AA78B" w14:textId="59583CF3" w:rsidR="0025482F" w:rsidRDefault="00DA0EC0" w:rsidP="0025482F">
      <w:pPr>
        <w:pStyle w:val="ListParagraph"/>
        <w:numPr>
          <w:ilvl w:val="1"/>
          <w:numId w:val="10"/>
        </w:numPr>
      </w:pPr>
      <w:r>
        <w:t>W</w:t>
      </w:r>
      <w:r w:rsidR="0090095D">
        <w:t>e must be able to exactly characterise the loss to ensure the device meets performance requirements</w:t>
      </w:r>
      <w:r w:rsidR="001D53EE">
        <w:t>, so circular polarisation measurements must be taken</w:t>
      </w:r>
    </w:p>
    <w:p w14:paraId="1529F5DA" w14:textId="5420710C" w:rsidR="00A16681" w:rsidRDefault="00A16681" w:rsidP="00961A05">
      <w:pPr>
        <w:pStyle w:val="ListParagraph"/>
        <w:numPr>
          <w:ilvl w:val="0"/>
          <w:numId w:val="10"/>
        </w:numPr>
      </w:pPr>
      <w:r>
        <w:t xml:space="preserve">The AUT is circular – the results of the OTA testing of the AUT would yield </w:t>
      </w:r>
      <w:r w:rsidR="00371825">
        <w:t>degradations of up to 3dB when compared to the real world performance of the device when operating over a circularly polarised satellite system</w:t>
      </w:r>
    </w:p>
    <w:p w14:paraId="330D4E78" w14:textId="0177A7E8" w:rsidR="0090095D" w:rsidRDefault="00DB06AC" w:rsidP="0090095D">
      <w:pPr>
        <w:pStyle w:val="ListParagraph"/>
        <w:numPr>
          <w:ilvl w:val="1"/>
          <w:numId w:val="10"/>
        </w:numPr>
      </w:pPr>
      <w:r>
        <w:t>The device would effectively have to exceed the OTA requirements by up to 3dB in order to meet the</w:t>
      </w:r>
      <w:r w:rsidR="00F70705">
        <w:t xml:space="preserve"> performance metrics derived from the OTA work item</w:t>
      </w:r>
    </w:p>
    <w:p w14:paraId="1E6051DE" w14:textId="1A39E159" w:rsidR="00F70705" w:rsidRDefault="00F70705" w:rsidP="0090095D">
      <w:pPr>
        <w:pStyle w:val="ListParagraph"/>
        <w:numPr>
          <w:ilvl w:val="1"/>
          <w:numId w:val="10"/>
        </w:numPr>
      </w:pPr>
      <w:r>
        <w:t>In the form factors of mobile handsets and other small devices, this is an impossible ask</w:t>
      </w:r>
    </w:p>
    <w:p w14:paraId="35BB9429" w14:textId="4D13B552" w:rsidR="001D53EE" w:rsidRDefault="00F70705" w:rsidP="001D53EE">
      <w:pPr>
        <w:pStyle w:val="ListParagraph"/>
        <w:numPr>
          <w:ilvl w:val="1"/>
          <w:numId w:val="10"/>
        </w:numPr>
      </w:pPr>
      <w:r>
        <w:t xml:space="preserve">We must be able to exactly characterise the </w:t>
      </w:r>
      <w:r w:rsidR="00DA0EC0">
        <w:t>polarisation alignment to an RHCP/LHCP signal to understand the actual device performance</w:t>
      </w:r>
    </w:p>
    <w:p w14:paraId="0E706134" w14:textId="5CFA45A4" w:rsidR="00BB387B" w:rsidRPr="001D0B79" w:rsidRDefault="00B90333" w:rsidP="00B90333">
      <w:pPr>
        <w:pStyle w:val="Caption"/>
      </w:pPr>
      <w:bookmarkStart w:id="7" w:name="_Toc181285269"/>
      <w:r>
        <w:lastRenderedPageBreak/>
        <w:t xml:space="preserve">Proposal </w:t>
      </w:r>
      <w:r>
        <w:fldChar w:fldCharType="begin"/>
      </w:r>
      <w:r>
        <w:instrText xml:space="preserve"> SEQ Proposal \* ARABIC </w:instrText>
      </w:r>
      <w:r>
        <w:fldChar w:fldCharType="separate"/>
      </w:r>
      <w:r>
        <w:rPr>
          <w:noProof/>
        </w:rPr>
        <w:t>1</w:t>
      </w:r>
      <w:r>
        <w:fldChar w:fldCharType="end"/>
      </w:r>
      <w:r>
        <w:t xml:space="preserve">: </w:t>
      </w:r>
      <w:r w:rsidR="00E042C7" w:rsidRPr="00B90333">
        <w:t xml:space="preserve">Use circular polarisation </w:t>
      </w:r>
      <w:r w:rsidR="007517FB" w:rsidRPr="00B90333">
        <w:t>test antennas to assess the performance of the UE. This enables us to characterise the exact loss seen by the UE when operating in a system that utilises circular polarisation antennas</w:t>
      </w:r>
      <w:r w:rsidR="001D0B79" w:rsidRPr="00B90333">
        <w:t>, as all satcom systems do.</w:t>
      </w:r>
      <w:r w:rsidR="00BF5360" w:rsidRPr="00B90333">
        <w:t xml:space="preserve"> 3dB is a large margin of error in the mobile handset form factors.</w:t>
      </w:r>
      <w:bookmarkEnd w:id="7"/>
    </w:p>
    <w:p w14:paraId="0C3699D8" w14:textId="60ABE8F1" w:rsidR="001D53EE" w:rsidRDefault="001D53EE" w:rsidP="001D53EE">
      <w:r>
        <w:t>In addition to the above, a linear antenna will not be perfectly linear and a circular polarised antenna will not be perfectly circular</w:t>
      </w:r>
      <w:r w:rsidR="005B2DEA">
        <w:t xml:space="preserve">, so optimisations can be made to the antenna in the handset to design / orient the antenna in a way which </w:t>
      </w:r>
      <w:r w:rsidR="003679C5">
        <w:t>complements the chosen polarisation scheme of the satcom system to reduce the loss as much as possible.</w:t>
      </w:r>
    </w:p>
    <w:p w14:paraId="1B3EA952" w14:textId="5F0AA8DE" w:rsidR="001D0B79" w:rsidRPr="001D0B79" w:rsidRDefault="00B90333" w:rsidP="00B90333">
      <w:pPr>
        <w:pStyle w:val="Caption"/>
      </w:pPr>
      <w:bookmarkStart w:id="8" w:name="_Toc181285270"/>
      <w:r>
        <w:t xml:space="preserve">Proposal </w:t>
      </w:r>
      <w:r>
        <w:fldChar w:fldCharType="begin"/>
      </w:r>
      <w:r>
        <w:instrText xml:space="preserve"> SEQ Proposal \* ARABIC </w:instrText>
      </w:r>
      <w:r>
        <w:fldChar w:fldCharType="separate"/>
      </w:r>
      <w:r>
        <w:rPr>
          <w:noProof/>
        </w:rPr>
        <w:t>2</w:t>
      </w:r>
      <w:r>
        <w:fldChar w:fldCharType="end"/>
      </w:r>
      <w:r>
        <w:t xml:space="preserve">: </w:t>
      </w:r>
      <w:r w:rsidR="001D0B79" w:rsidRPr="00B90333">
        <w:t xml:space="preserve">The circular polarisation testing would enable the antenna designer to assess the real </w:t>
      </w:r>
      <w:r w:rsidR="003775BF" w:rsidRPr="00B90333">
        <w:t>circular polarisation characteristics of linear antennas, which will not be perfectly linear. This may enable the antenna designer to tweak the design slightly to get slight increments in performance for specific polarisations.</w:t>
      </w:r>
      <w:bookmarkEnd w:id="8"/>
    </w:p>
    <w:p w14:paraId="49F71053" w14:textId="17E6196E" w:rsidR="00B85DE0" w:rsidRDefault="003679C5" w:rsidP="00B85DE0">
      <w:r>
        <w:t xml:space="preserve">It is clear from the above that </w:t>
      </w:r>
      <w:r w:rsidR="00606CD4">
        <w:t xml:space="preserve">circular polarisation measurements at both RHCP and LHCP must be characterised in order to assess the ‘up to 3dB’ degradation or exceedance of the requirements since for the form factors of mobile handsets </w:t>
      </w:r>
      <w:r w:rsidR="00195102">
        <w:t>either a 3dB relaxation or tightening of the requirement is a huge margin to give.</w:t>
      </w:r>
    </w:p>
    <w:p w14:paraId="17AD4D62" w14:textId="15B3953D" w:rsidR="00B85DE0" w:rsidRDefault="00A439BA" w:rsidP="00B85DE0">
      <w:r>
        <w:t xml:space="preserve">It is the view of the operator that the performance metrics should be measured at both RHCP and LHCP circular polarisations to best assess the </w:t>
      </w:r>
      <w:r w:rsidR="001E46C5">
        <w:t>real-world performance of the antenna system, preventing either the over-specification or relaxation of the devices</w:t>
      </w:r>
      <w:r w:rsidR="000A286D">
        <w:t>.</w:t>
      </w:r>
    </w:p>
    <w:p w14:paraId="56101DCB" w14:textId="7384F11F" w:rsidR="001E46C5" w:rsidRDefault="001E46C5" w:rsidP="00B85DE0">
      <w:r>
        <w:t xml:space="preserve">From these </w:t>
      </w:r>
      <w:r w:rsidR="009B6892">
        <w:t>performance metric measurements the axial ratio can be inferred</w:t>
      </w:r>
      <w:r w:rsidR="000A286D">
        <w:t>,</w:t>
      </w:r>
      <w:r w:rsidR="009B6892">
        <w:t xml:space="preserve"> establishing the quality of the antenna when considering the rejection of the undesired polarisation</w:t>
      </w:r>
      <w:r w:rsidR="000A286D">
        <w:t>s be it from other systems or multipath components</w:t>
      </w:r>
      <w:r w:rsidR="009B6892">
        <w:t>.</w:t>
      </w:r>
      <w:r w:rsidR="00927EC4">
        <w:t xml:space="preserve"> This is a good precedent to set for future FR1 VSAT-like terminals which are to be studied in this work item at a later date. This also futureproofs the use of circular polarisation</w:t>
      </w:r>
      <w:r w:rsidR="000A286D">
        <w:t xml:space="preserve"> isolation</w:t>
      </w:r>
      <w:r w:rsidR="00927EC4">
        <w:t xml:space="preserve"> </w:t>
      </w:r>
      <w:r w:rsidR="000A286D">
        <w:t>to provide co-channel rejection</w:t>
      </w:r>
      <w:r w:rsidR="00927EC4">
        <w:t xml:space="preserve">, which </w:t>
      </w:r>
      <w:r w:rsidR="003E694B">
        <w:t>in theory can double the capacity of a system.</w:t>
      </w:r>
    </w:p>
    <w:p w14:paraId="3131F2C4" w14:textId="28DE7930" w:rsidR="003775BF" w:rsidRPr="00B90333" w:rsidRDefault="00B90333" w:rsidP="00B90333">
      <w:pPr>
        <w:pStyle w:val="Caption"/>
      </w:pPr>
      <w:bookmarkStart w:id="9" w:name="_Toc181285271"/>
      <w:r>
        <w:t xml:space="preserve">Proposal </w:t>
      </w:r>
      <w:r>
        <w:fldChar w:fldCharType="begin"/>
      </w:r>
      <w:r>
        <w:instrText xml:space="preserve"> SEQ Proposal \* ARABIC </w:instrText>
      </w:r>
      <w:r>
        <w:fldChar w:fldCharType="separate"/>
      </w:r>
      <w:r>
        <w:rPr>
          <w:noProof/>
        </w:rPr>
        <w:t>3</w:t>
      </w:r>
      <w:r>
        <w:fldChar w:fldCharType="end"/>
      </w:r>
      <w:r>
        <w:t xml:space="preserve">: </w:t>
      </w:r>
      <w:r w:rsidR="003775BF" w:rsidRPr="00B90333">
        <w:t xml:space="preserve">The specification of FR1 Circular polarisation test procedures sets a good precedent for VSAT like UE which will use circular polarised antennas. </w:t>
      </w:r>
      <w:r w:rsidR="00A940E1" w:rsidRPr="00B90333">
        <w:t xml:space="preserve">This would enable the assessment of cross polarisation discrimination (XPD) which can increase the capacity of a system if leveraged correctly. If we ignore circular polarisation </w:t>
      </w:r>
      <w:r w:rsidR="00BF5360" w:rsidRPr="00B90333">
        <w:t>testing at this stage, it may preclude the ability of an operator to leverage XPD to increase the capacity of their system.</w:t>
      </w:r>
      <w:bookmarkEnd w:id="9"/>
    </w:p>
    <w:p w14:paraId="627881EE" w14:textId="7E43D535" w:rsidR="0088346C" w:rsidRDefault="0088346C" w:rsidP="0088346C">
      <w:pPr>
        <w:pStyle w:val="Heading2"/>
        <w:numPr>
          <w:ilvl w:val="1"/>
          <w:numId w:val="8"/>
        </w:numPr>
      </w:pPr>
      <w:r>
        <w:t>Test Metrics</w:t>
      </w:r>
    </w:p>
    <w:p w14:paraId="2E57EDA0" w14:textId="620A1B72" w:rsidR="0088346C" w:rsidRDefault="00BF5360" w:rsidP="0088346C">
      <w:r>
        <w:t xml:space="preserve">In addition to testing the overarching metrics such as TRP/TRS for mobile handsets, </w:t>
      </w:r>
      <w:r w:rsidR="0069481D">
        <w:t>several other metrics can be introduced that assess the quality of the circular polarisation, and the rejection between polarisations without an increased testing burden, just more post-processing of data.</w:t>
      </w:r>
    </w:p>
    <w:p w14:paraId="251294D8" w14:textId="395E0C0E" w:rsidR="0069481D" w:rsidRPr="00B90333" w:rsidRDefault="00B90333" w:rsidP="00B90333">
      <w:pPr>
        <w:pStyle w:val="Caption"/>
      </w:pPr>
      <w:bookmarkStart w:id="10" w:name="_Toc181285307"/>
      <w:r>
        <w:t xml:space="preserve">Observation </w:t>
      </w:r>
      <w:r>
        <w:fldChar w:fldCharType="begin"/>
      </w:r>
      <w:r>
        <w:instrText xml:space="preserve"> SEQ Observation \* ARABIC </w:instrText>
      </w:r>
      <w:r>
        <w:fldChar w:fldCharType="separate"/>
      </w:r>
      <w:r>
        <w:rPr>
          <w:noProof/>
        </w:rPr>
        <w:t>6</w:t>
      </w:r>
      <w:r>
        <w:fldChar w:fldCharType="end"/>
      </w:r>
      <w:r>
        <w:t>:</w:t>
      </w:r>
      <w:r w:rsidR="0069481D">
        <w:rPr>
          <w:b w:val="0"/>
          <w:bCs w:val="0"/>
        </w:rPr>
        <w:t xml:space="preserve"> </w:t>
      </w:r>
      <w:r w:rsidR="00F3058E" w:rsidRPr="00B90333">
        <w:t>XPD and AR of the antennas can be assesses without any other additional tests after the main performance metrics (e.g. TRP/TRS) have been established. Only post-processing of data is required.</w:t>
      </w:r>
      <w:bookmarkEnd w:id="10"/>
    </w:p>
    <w:p w14:paraId="41D4D195" w14:textId="1B6DE1C1" w:rsidR="00F3058E" w:rsidRDefault="00F3058E" w:rsidP="0069481D">
      <w:r>
        <w:t>The introduction of Axial ratio as a performance metric would allow us to assess the quality of circular polarisation of the antenna and would then allow us to calculate the XPD to assess the rejection of the opposite polarisation.</w:t>
      </w:r>
    </w:p>
    <w:p w14:paraId="7DA19A83" w14:textId="3E428FA4" w:rsidR="0069481D" w:rsidRPr="00B90333" w:rsidRDefault="00B90333" w:rsidP="00B90333">
      <w:pPr>
        <w:pStyle w:val="Caption"/>
      </w:pPr>
      <w:bookmarkStart w:id="11" w:name="_Toc181285272"/>
      <w:r>
        <w:t xml:space="preserve">Proposal </w:t>
      </w:r>
      <w:r>
        <w:fldChar w:fldCharType="begin"/>
      </w:r>
      <w:r>
        <w:instrText xml:space="preserve"> SEQ Proposal \* ARABIC </w:instrText>
      </w:r>
      <w:r>
        <w:fldChar w:fldCharType="separate"/>
      </w:r>
      <w:r>
        <w:rPr>
          <w:noProof/>
        </w:rPr>
        <w:t>4</w:t>
      </w:r>
      <w:r>
        <w:fldChar w:fldCharType="end"/>
      </w:r>
      <w:r>
        <w:t>:</w:t>
      </w:r>
      <w:r w:rsidRPr="00BB387B">
        <w:t xml:space="preserve"> </w:t>
      </w:r>
      <w:r w:rsidRPr="00B90333">
        <w:t>Introduce AR and XPD as performance metrics for NTN systems, to assess the quality of the antenna’s circular polarisation and the rejection of the opposite polarisation.</w:t>
      </w:r>
      <w:bookmarkEnd w:id="11"/>
    </w:p>
    <w:p w14:paraId="64C078A0" w14:textId="2418AF68" w:rsidR="000A286D" w:rsidRDefault="000A286D" w:rsidP="000A286D">
      <w:pPr>
        <w:pStyle w:val="Heading1"/>
        <w:numPr>
          <w:ilvl w:val="0"/>
          <w:numId w:val="8"/>
        </w:numPr>
      </w:pPr>
      <w:r>
        <w:t>Conclusions &amp; Proposals</w:t>
      </w:r>
    </w:p>
    <w:p w14:paraId="615A6F76" w14:textId="2703811F" w:rsidR="00B90333" w:rsidRDefault="00B90333">
      <w:pPr>
        <w:pStyle w:val="TableofFigures"/>
        <w:tabs>
          <w:tab w:val="right" w:leader="dot" w:pos="9629"/>
        </w:tabs>
        <w:rPr>
          <w:rStyle w:val="Hyperlink"/>
          <w:b/>
          <w:bCs/>
          <w:noProof/>
        </w:rPr>
      </w:pPr>
      <w:r>
        <w:rPr>
          <w:b/>
          <w:bCs/>
        </w:rPr>
        <w:fldChar w:fldCharType="begin"/>
      </w:r>
      <w:r>
        <w:rPr>
          <w:b/>
          <w:bCs/>
        </w:rPr>
        <w:instrText xml:space="preserve"> TOC \n \h \z \c "Proposal" </w:instrText>
      </w:r>
      <w:r>
        <w:rPr>
          <w:b/>
          <w:bCs/>
        </w:rPr>
        <w:fldChar w:fldCharType="separate"/>
      </w:r>
      <w:hyperlink w:anchor="_Toc181285269" w:history="1">
        <w:r w:rsidRPr="00B90333">
          <w:rPr>
            <w:rStyle w:val="Hyperlink"/>
            <w:b/>
            <w:bCs/>
            <w:noProof/>
          </w:rPr>
          <w:t>Proposal 1: Use circular polarisation test antennas to assess the performance of the UE. This enables us to characterise the exact loss seen by the UE when operating in a system that utilises circular polarisation antennas, as all satcom systems do. 3dB is a large margin of error in the mobile handset form factors.</w:t>
        </w:r>
      </w:hyperlink>
    </w:p>
    <w:p w14:paraId="3389E2B1" w14:textId="77777777" w:rsidR="00B90333" w:rsidRPr="00B90333" w:rsidRDefault="00B90333" w:rsidP="00B90333">
      <w:pPr>
        <w:rPr>
          <w:rFonts w:eastAsiaTheme="minorEastAsia"/>
        </w:rPr>
      </w:pPr>
    </w:p>
    <w:p w14:paraId="6572FDF2" w14:textId="78BA5933" w:rsidR="00B90333" w:rsidRDefault="00BE3228">
      <w:pPr>
        <w:pStyle w:val="TableofFigures"/>
        <w:tabs>
          <w:tab w:val="right" w:leader="dot" w:pos="9629"/>
        </w:tabs>
        <w:rPr>
          <w:rStyle w:val="Hyperlink"/>
          <w:b/>
          <w:bCs/>
          <w:noProof/>
        </w:rPr>
      </w:pPr>
      <w:hyperlink w:anchor="_Toc181285270" w:history="1">
        <w:r w:rsidR="00B90333" w:rsidRPr="00B90333">
          <w:rPr>
            <w:rStyle w:val="Hyperlink"/>
            <w:b/>
            <w:bCs/>
            <w:noProof/>
          </w:rPr>
          <w:t>Proposal 2: The circular polarisation testing would enable the antenna designer to assess the real circular polarisation characteristics of linear antennas, which will not be perfectly linear. This may enable the antenna designer to tweak the design slightly to get slight increments in performance for specific polarisations.</w:t>
        </w:r>
      </w:hyperlink>
    </w:p>
    <w:p w14:paraId="30BF9422" w14:textId="77777777" w:rsidR="00B90333" w:rsidRPr="00B90333" w:rsidRDefault="00B90333" w:rsidP="00B90333">
      <w:pPr>
        <w:rPr>
          <w:rFonts w:eastAsiaTheme="minorEastAsia"/>
        </w:rPr>
      </w:pPr>
    </w:p>
    <w:p w14:paraId="07852554" w14:textId="4350B75C" w:rsidR="00B90333" w:rsidRDefault="00BE3228">
      <w:pPr>
        <w:pStyle w:val="TableofFigures"/>
        <w:tabs>
          <w:tab w:val="right" w:leader="dot" w:pos="9629"/>
        </w:tabs>
        <w:rPr>
          <w:rStyle w:val="Hyperlink"/>
          <w:b/>
          <w:bCs/>
          <w:noProof/>
        </w:rPr>
      </w:pPr>
      <w:hyperlink w:anchor="_Toc181285271" w:history="1">
        <w:r w:rsidR="00B90333" w:rsidRPr="00B90333">
          <w:rPr>
            <w:rStyle w:val="Hyperlink"/>
            <w:b/>
            <w:bCs/>
            <w:noProof/>
          </w:rPr>
          <w:t xml:space="preserve">Proposal 3: The specification of FR1 Circular polarisation test procedures sets a good precedent for VSAT like UE which will use circular polarised antennas. This would enable the assessment of cross polarisation </w:t>
        </w:r>
        <w:r w:rsidR="00B90333" w:rsidRPr="00B90333">
          <w:rPr>
            <w:rStyle w:val="Hyperlink"/>
            <w:b/>
            <w:bCs/>
            <w:noProof/>
          </w:rPr>
          <w:lastRenderedPageBreak/>
          <w:t>discrimination (XPD) which can increase the capacity of a system if leveraged correctly. If we ignore circular polarisation testing at this stage, it may preclude the ability of an operator to leverage XPD to increase the capacity of their system.</w:t>
        </w:r>
      </w:hyperlink>
    </w:p>
    <w:p w14:paraId="39FE2C76" w14:textId="77777777" w:rsidR="00B90333" w:rsidRPr="00B90333" w:rsidRDefault="00B90333" w:rsidP="00B90333">
      <w:pPr>
        <w:rPr>
          <w:rFonts w:eastAsiaTheme="minorEastAsia"/>
        </w:rPr>
      </w:pPr>
    </w:p>
    <w:p w14:paraId="19F5B706" w14:textId="60403B3B" w:rsidR="00B90333" w:rsidRPr="00B90333" w:rsidRDefault="00BE3228">
      <w:pPr>
        <w:pStyle w:val="TableofFigures"/>
        <w:tabs>
          <w:tab w:val="right" w:leader="dot" w:pos="9629"/>
        </w:tabs>
        <w:rPr>
          <w:rFonts w:asciiTheme="minorHAnsi" w:eastAsiaTheme="minorEastAsia" w:hAnsiTheme="minorHAnsi" w:cstheme="minorBidi"/>
          <w:b/>
          <w:bCs/>
          <w:noProof/>
          <w:kern w:val="2"/>
          <w:sz w:val="24"/>
          <w:szCs w:val="24"/>
          <w14:ligatures w14:val="standardContextual"/>
        </w:rPr>
      </w:pPr>
      <w:hyperlink w:anchor="_Toc181285272" w:history="1">
        <w:r w:rsidR="00B90333" w:rsidRPr="00B90333">
          <w:rPr>
            <w:rStyle w:val="Hyperlink"/>
            <w:b/>
            <w:bCs/>
            <w:noProof/>
          </w:rPr>
          <w:t>Proposal 4: Introduce AR and XPD as performance metrics for NTN systems, to assess the quality of the antenna’s circular polarisation and the rejection of the opposite polarisation.</w:t>
        </w:r>
      </w:hyperlink>
    </w:p>
    <w:p w14:paraId="52117B3A" w14:textId="2703811F" w:rsidR="000A286D" w:rsidRPr="000A286D" w:rsidRDefault="00B90333" w:rsidP="000A286D">
      <w:pPr>
        <w:rPr>
          <w:b/>
          <w:bCs/>
        </w:rPr>
      </w:pPr>
      <w:r>
        <w:rPr>
          <w:b/>
          <w:bCs/>
        </w:rPr>
        <w:fldChar w:fldCharType="end"/>
      </w:r>
    </w:p>
    <w:p w14:paraId="18B7B129" w14:textId="65CA0152" w:rsidR="00B90333" w:rsidRDefault="00B90333">
      <w:pPr>
        <w:pStyle w:val="TableofFigures"/>
        <w:tabs>
          <w:tab w:val="right" w:leader="dot" w:pos="9629"/>
        </w:tabs>
        <w:rPr>
          <w:rStyle w:val="Hyperlink"/>
          <w:b/>
          <w:bCs/>
          <w:noProof/>
        </w:rPr>
      </w:pPr>
      <w:r>
        <w:fldChar w:fldCharType="begin"/>
      </w:r>
      <w:r>
        <w:instrText xml:space="preserve"> TOC \n \h \z \c "Observation" </w:instrText>
      </w:r>
      <w:r>
        <w:fldChar w:fldCharType="separate"/>
      </w:r>
      <w:hyperlink w:anchor="_Toc181285302" w:history="1">
        <w:r w:rsidRPr="00B90333">
          <w:rPr>
            <w:rStyle w:val="Hyperlink"/>
            <w:b/>
            <w:bCs/>
            <w:noProof/>
          </w:rPr>
          <w:t>Observation 1: Most current FR1 satellite communications systems use circular polarisation in order to remove the unpredictability of signal phase rotation in the satellite communications link.</w:t>
        </w:r>
      </w:hyperlink>
    </w:p>
    <w:p w14:paraId="0C03050F" w14:textId="77777777" w:rsidR="00B90333" w:rsidRPr="00B90333" w:rsidRDefault="00B90333" w:rsidP="00B90333">
      <w:pPr>
        <w:rPr>
          <w:rFonts w:eastAsiaTheme="minorEastAsia"/>
        </w:rPr>
      </w:pPr>
    </w:p>
    <w:p w14:paraId="5A143DB8" w14:textId="00B5B9C7" w:rsidR="00B90333" w:rsidRDefault="00BE3228">
      <w:pPr>
        <w:pStyle w:val="TableofFigures"/>
        <w:tabs>
          <w:tab w:val="right" w:leader="dot" w:pos="9629"/>
        </w:tabs>
        <w:rPr>
          <w:rStyle w:val="Hyperlink"/>
          <w:b/>
          <w:bCs/>
          <w:noProof/>
        </w:rPr>
      </w:pPr>
      <w:hyperlink w:anchor="_Toc181285303" w:history="1">
        <w:r w:rsidR="00B90333" w:rsidRPr="00B90333">
          <w:rPr>
            <w:rStyle w:val="Hyperlink"/>
            <w:b/>
            <w:bCs/>
            <w:noProof/>
          </w:rPr>
          <w:t>Observation 2: Cross-circular-polarisation isolation can be used to provide isolation between satellite systems operating on the same / adjacent frequency bands, and can provide multipath rejection.</w:t>
        </w:r>
      </w:hyperlink>
    </w:p>
    <w:p w14:paraId="0B9FEC84" w14:textId="77777777" w:rsidR="00B90333" w:rsidRPr="00B90333" w:rsidRDefault="00B90333" w:rsidP="00B90333">
      <w:pPr>
        <w:rPr>
          <w:rFonts w:eastAsiaTheme="minorEastAsia"/>
        </w:rPr>
      </w:pPr>
    </w:p>
    <w:p w14:paraId="5590B527" w14:textId="097E1F28" w:rsidR="00B90333" w:rsidRDefault="00BE3228">
      <w:pPr>
        <w:pStyle w:val="TableofFigures"/>
        <w:tabs>
          <w:tab w:val="right" w:leader="dot" w:pos="9629"/>
        </w:tabs>
        <w:rPr>
          <w:rStyle w:val="Hyperlink"/>
          <w:b/>
          <w:bCs/>
          <w:noProof/>
        </w:rPr>
      </w:pPr>
      <w:hyperlink w:anchor="_Toc181285304" w:history="1">
        <w:r w:rsidR="00B90333" w:rsidRPr="00B90333">
          <w:rPr>
            <w:rStyle w:val="Hyperlink"/>
            <w:b/>
            <w:bCs/>
            <w:noProof/>
          </w:rPr>
          <w:t>Observation 3: A linear antenna can experience up to 3dB degradation in performance when receiving a circularly polarised signal.</w:t>
        </w:r>
      </w:hyperlink>
    </w:p>
    <w:p w14:paraId="0CAAD7A3" w14:textId="77777777" w:rsidR="00B90333" w:rsidRPr="00B90333" w:rsidRDefault="00B90333" w:rsidP="00B90333">
      <w:pPr>
        <w:rPr>
          <w:rFonts w:eastAsiaTheme="minorEastAsia"/>
        </w:rPr>
      </w:pPr>
    </w:p>
    <w:p w14:paraId="2B8275EE" w14:textId="68A60579" w:rsidR="00B90333" w:rsidRDefault="00BE3228">
      <w:pPr>
        <w:pStyle w:val="TableofFigures"/>
        <w:tabs>
          <w:tab w:val="right" w:leader="dot" w:pos="9629"/>
        </w:tabs>
        <w:rPr>
          <w:rStyle w:val="Hyperlink"/>
          <w:b/>
          <w:bCs/>
          <w:noProof/>
        </w:rPr>
      </w:pPr>
      <w:hyperlink w:anchor="_Toc181285305" w:history="1">
        <w:r w:rsidR="00B90333" w:rsidRPr="00B90333">
          <w:rPr>
            <w:rStyle w:val="Hyperlink"/>
            <w:b/>
            <w:bCs/>
            <w:noProof/>
          </w:rPr>
          <w:t>Observation 4: Axial ratio metric is used to assess the rejection of the opposite circular polarisation signals, and XPD can characterise the exact isolation between polarisations.</w:t>
        </w:r>
      </w:hyperlink>
    </w:p>
    <w:p w14:paraId="78D6E939" w14:textId="77777777" w:rsidR="00B90333" w:rsidRPr="00B90333" w:rsidRDefault="00B90333" w:rsidP="00B90333">
      <w:pPr>
        <w:rPr>
          <w:rFonts w:eastAsiaTheme="minorEastAsia"/>
        </w:rPr>
      </w:pPr>
    </w:p>
    <w:p w14:paraId="46F3005B" w14:textId="0BAFDB1D" w:rsidR="00B90333" w:rsidRDefault="00BE3228">
      <w:pPr>
        <w:pStyle w:val="TableofFigures"/>
        <w:tabs>
          <w:tab w:val="right" w:leader="dot" w:pos="9629"/>
        </w:tabs>
        <w:rPr>
          <w:rStyle w:val="Hyperlink"/>
          <w:b/>
          <w:bCs/>
          <w:noProof/>
        </w:rPr>
      </w:pPr>
      <w:hyperlink w:anchor="_Toc181285306" w:history="1">
        <w:r w:rsidR="00B90333" w:rsidRPr="00B90333">
          <w:rPr>
            <w:rStyle w:val="Hyperlink"/>
            <w:b/>
            <w:bCs/>
            <w:noProof/>
          </w:rPr>
          <w:t>Observation 5: NTN devices are much more link constrained than TN devices, so taking an ‘up-to 3dB’ loss or gain in performance is significant and should be characterised in order to assess real world performance.</w:t>
        </w:r>
      </w:hyperlink>
    </w:p>
    <w:p w14:paraId="07DEBCC6" w14:textId="77777777" w:rsidR="00B90333" w:rsidRPr="00B90333" w:rsidRDefault="00B90333" w:rsidP="00B90333">
      <w:pPr>
        <w:rPr>
          <w:rFonts w:eastAsiaTheme="minorEastAsia"/>
        </w:rPr>
      </w:pPr>
    </w:p>
    <w:p w14:paraId="7361752D" w14:textId="5E7AF741" w:rsidR="00B90333" w:rsidRPr="00B90333" w:rsidRDefault="00BE3228">
      <w:pPr>
        <w:pStyle w:val="TableofFigures"/>
        <w:tabs>
          <w:tab w:val="right" w:leader="dot" w:pos="9629"/>
        </w:tabs>
        <w:rPr>
          <w:rFonts w:asciiTheme="minorHAnsi" w:eastAsiaTheme="minorEastAsia" w:hAnsiTheme="minorHAnsi" w:cstheme="minorBidi"/>
          <w:b/>
          <w:bCs/>
          <w:noProof/>
          <w:kern w:val="2"/>
          <w:sz w:val="24"/>
          <w:szCs w:val="24"/>
          <w14:ligatures w14:val="standardContextual"/>
        </w:rPr>
      </w:pPr>
      <w:hyperlink w:anchor="_Toc181285307" w:history="1">
        <w:r w:rsidR="00B90333" w:rsidRPr="00B90333">
          <w:rPr>
            <w:rStyle w:val="Hyperlink"/>
            <w:b/>
            <w:bCs/>
            <w:noProof/>
          </w:rPr>
          <w:t>Observation 6: XPD and AR of the antennas can be assesses without any other additional tests after the main performance metrics (e.g. TRP/TRS) have been established. Only post-processing of data is required.</w:t>
        </w:r>
      </w:hyperlink>
    </w:p>
    <w:p w14:paraId="4E454268" w14:textId="7CD9428B" w:rsidR="000A286D" w:rsidRPr="000A286D" w:rsidRDefault="00B90333" w:rsidP="000A286D">
      <w:r>
        <w:fldChar w:fldCharType="end"/>
      </w:r>
    </w:p>
    <w:p w14:paraId="6C9175F4" w14:textId="61F32C8A" w:rsidR="00371825" w:rsidRPr="004836E8" w:rsidRDefault="00371825" w:rsidP="00371825"/>
    <w:sectPr w:rsidR="00371825" w:rsidRPr="004836E8">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377C1" w14:textId="77777777" w:rsidR="00B356FF" w:rsidRDefault="00B356FF">
      <w:pPr>
        <w:spacing w:after="0"/>
      </w:pPr>
      <w:r>
        <w:separator/>
      </w:r>
    </w:p>
  </w:endnote>
  <w:endnote w:type="continuationSeparator" w:id="0">
    <w:p w14:paraId="5011A699" w14:textId="77777777" w:rsidR="00B356FF" w:rsidRDefault="00B356FF">
      <w:pPr>
        <w:spacing w:after="0"/>
      </w:pPr>
      <w:r>
        <w:continuationSeparator/>
      </w:r>
    </w:p>
  </w:endnote>
  <w:endnote w:type="continuationNotice" w:id="1">
    <w:p w14:paraId="06885C7A" w14:textId="77777777" w:rsidR="00B356FF" w:rsidRDefault="00B35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49383D2F" w14:paraId="2CBA7B3B" w14:textId="77777777" w:rsidTr="49383D2F">
      <w:trPr>
        <w:trHeight w:val="300"/>
      </w:trPr>
      <w:tc>
        <w:tcPr>
          <w:tcW w:w="3210" w:type="dxa"/>
        </w:tcPr>
        <w:p w14:paraId="4A12274F" w14:textId="089A90DD" w:rsidR="49383D2F" w:rsidRDefault="49383D2F" w:rsidP="49383D2F">
          <w:pPr>
            <w:pStyle w:val="Header"/>
            <w:ind w:left="-115"/>
          </w:pPr>
        </w:p>
      </w:tc>
      <w:tc>
        <w:tcPr>
          <w:tcW w:w="3210" w:type="dxa"/>
        </w:tcPr>
        <w:p w14:paraId="29574196" w14:textId="08248A95" w:rsidR="49383D2F" w:rsidRDefault="49383D2F" w:rsidP="49383D2F">
          <w:pPr>
            <w:pStyle w:val="Header"/>
            <w:jc w:val="center"/>
          </w:pPr>
        </w:p>
      </w:tc>
      <w:tc>
        <w:tcPr>
          <w:tcW w:w="3210" w:type="dxa"/>
        </w:tcPr>
        <w:p w14:paraId="4B3D5535" w14:textId="643ACBED" w:rsidR="49383D2F" w:rsidRDefault="49383D2F" w:rsidP="49383D2F">
          <w:pPr>
            <w:pStyle w:val="Header"/>
            <w:ind w:right="-115"/>
            <w:jc w:val="right"/>
          </w:pPr>
        </w:p>
      </w:tc>
    </w:tr>
  </w:tbl>
  <w:p w14:paraId="32BC6482" w14:textId="4547CAC4" w:rsidR="008B51AF" w:rsidRDefault="008B5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EF330F" w14:textId="77777777" w:rsidR="00B356FF" w:rsidRDefault="00B356FF">
      <w:pPr>
        <w:spacing w:after="0"/>
      </w:pPr>
      <w:r>
        <w:separator/>
      </w:r>
    </w:p>
  </w:footnote>
  <w:footnote w:type="continuationSeparator" w:id="0">
    <w:p w14:paraId="2C6D0354" w14:textId="77777777" w:rsidR="00B356FF" w:rsidRDefault="00B356FF">
      <w:pPr>
        <w:spacing w:after="0"/>
      </w:pPr>
      <w:r>
        <w:continuationSeparator/>
      </w:r>
    </w:p>
  </w:footnote>
  <w:footnote w:type="continuationNotice" w:id="1">
    <w:p w14:paraId="4F515312" w14:textId="77777777" w:rsidR="00B356FF" w:rsidRDefault="00B356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964EF" w14:textId="77777777" w:rsidR="00EF79E3" w:rsidRDefault="00EF79E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49383D2F" w14:paraId="76DBF71C" w14:textId="77777777" w:rsidTr="49383D2F">
      <w:trPr>
        <w:trHeight w:val="300"/>
      </w:trPr>
      <w:tc>
        <w:tcPr>
          <w:tcW w:w="3210" w:type="dxa"/>
        </w:tcPr>
        <w:p w14:paraId="1B5DDCC7" w14:textId="058161D1" w:rsidR="49383D2F" w:rsidRDefault="49383D2F" w:rsidP="49383D2F">
          <w:pPr>
            <w:pStyle w:val="Header"/>
            <w:ind w:left="-115"/>
          </w:pPr>
        </w:p>
      </w:tc>
      <w:tc>
        <w:tcPr>
          <w:tcW w:w="3210" w:type="dxa"/>
        </w:tcPr>
        <w:p w14:paraId="0D49836B" w14:textId="4AFACDF4" w:rsidR="49383D2F" w:rsidRDefault="49383D2F" w:rsidP="49383D2F">
          <w:pPr>
            <w:pStyle w:val="Header"/>
            <w:jc w:val="center"/>
          </w:pPr>
        </w:p>
      </w:tc>
      <w:tc>
        <w:tcPr>
          <w:tcW w:w="3210" w:type="dxa"/>
        </w:tcPr>
        <w:p w14:paraId="53CFA366" w14:textId="7C03B908" w:rsidR="49383D2F" w:rsidRDefault="49383D2F" w:rsidP="49383D2F">
          <w:pPr>
            <w:pStyle w:val="Header"/>
            <w:ind w:right="-115"/>
            <w:jc w:val="right"/>
          </w:pPr>
        </w:p>
      </w:tc>
    </w:tr>
  </w:tbl>
  <w:p w14:paraId="72D6C2B2" w14:textId="70393EAA" w:rsidR="008B51AF" w:rsidRDefault="008B5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0694B"/>
    <w:multiLevelType w:val="multilevel"/>
    <w:tmpl w:val="BB4843D4"/>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8F1969"/>
    <w:multiLevelType w:val="multilevel"/>
    <w:tmpl w:val="4516CC6C"/>
    <w:lvl w:ilvl="0">
      <w:start w:val="4"/>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7E4319C"/>
    <w:multiLevelType w:val="hybridMultilevel"/>
    <w:tmpl w:val="A8EA85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717A35"/>
    <w:multiLevelType w:val="multilevel"/>
    <w:tmpl w:val="513E3F1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F7139C5"/>
    <w:multiLevelType w:val="hybridMultilevel"/>
    <w:tmpl w:val="56A427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E10B00"/>
    <w:multiLevelType w:val="hybridMultilevel"/>
    <w:tmpl w:val="21CCE9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54B54D8"/>
    <w:multiLevelType w:val="hybridMultilevel"/>
    <w:tmpl w:val="45845022"/>
    <w:lvl w:ilvl="0" w:tplc="D91C9AC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175491"/>
    <w:multiLevelType w:val="hybridMultilevel"/>
    <w:tmpl w:val="56A427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8545CD7"/>
    <w:multiLevelType w:val="hybridMultilevel"/>
    <w:tmpl w:val="E42E478C"/>
    <w:lvl w:ilvl="0" w:tplc="6E5AD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A2538D"/>
    <w:multiLevelType w:val="hybridMultilevel"/>
    <w:tmpl w:val="0C380A8A"/>
    <w:lvl w:ilvl="0" w:tplc="9612B97A">
      <w:numFmt w:val="bullet"/>
      <w:lvlText w:val="-"/>
      <w:lvlJc w:val="left"/>
      <w:pPr>
        <w:ind w:left="1267" w:hanging="360"/>
      </w:pPr>
      <w:rPr>
        <w:rFonts w:ascii="Arial" w:eastAsiaTheme="minorHAnsi" w:hAnsi="Arial" w:cs="Arial" w:hint="default"/>
      </w:rPr>
    </w:lvl>
    <w:lvl w:ilvl="1" w:tplc="08090003">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num w:numId="1" w16cid:durableId="873226880">
    <w:abstractNumId w:val="3"/>
  </w:num>
  <w:num w:numId="2" w16cid:durableId="1422875722">
    <w:abstractNumId w:val="9"/>
  </w:num>
  <w:num w:numId="3" w16cid:durableId="1740512952">
    <w:abstractNumId w:val="1"/>
  </w:num>
  <w:num w:numId="4" w16cid:durableId="1592742014">
    <w:abstractNumId w:val="4"/>
  </w:num>
  <w:num w:numId="5" w16cid:durableId="38214605">
    <w:abstractNumId w:val="7"/>
  </w:num>
  <w:num w:numId="6" w16cid:durableId="1528525574">
    <w:abstractNumId w:val="6"/>
  </w:num>
  <w:num w:numId="7" w16cid:durableId="1444108559">
    <w:abstractNumId w:val="8"/>
  </w:num>
  <w:num w:numId="8" w16cid:durableId="82117001">
    <w:abstractNumId w:val="0"/>
  </w:num>
  <w:num w:numId="9" w16cid:durableId="1838957027">
    <w:abstractNumId w:val="2"/>
  </w:num>
  <w:num w:numId="10" w16cid:durableId="705721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9E3"/>
    <w:rsid w:val="00004133"/>
    <w:rsid w:val="000063A9"/>
    <w:rsid w:val="00037773"/>
    <w:rsid w:val="00043070"/>
    <w:rsid w:val="0004506E"/>
    <w:rsid w:val="00046878"/>
    <w:rsid w:val="00050792"/>
    <w:rsid w:val="000565F3"/>
    <w:rsid w:val="000611C6"/>
    <w:rsid w:val="000655D6"/>
    <w:rsid w:val="000725AF"/>
    <w:rsid w:val="000744A6"/>
    <w:rsid w:val="00075023"/>
    <w:rsid w:val="00080964"/>
    <w:rsid w:val="00092C6F"/>
    <w:rsid w:val="00092E86"/>
    <w:rsid w:val="000931C4"/>
    <w:rsid w:val="00095A52"/>
    <w:rsid w:val="00096BA5"/>
    <w:rsid w:val="000A132F"/>
    <w:rsid w:val="000A2736"/>
    <w:rsid w:val="000A286D"/>
    <w:rsid w:val="000B7453"/>
    <w:rsid w:val="000C0A37"/>
    <w:rsid w:val="000C34E3"/>
    <w:rsid w:val="000C6A08"/>
    <w:rsid w:val="000D7704"/>
    <w:rsid w:val="000E3D8A"/>
    <w:rsid w:val="000E6539"/>
    <w:rsid w:val="000F388A"/>
    <w:rsid w:val="000F436F"/>
    <w:rsid w:val="000F539B"/>
    <w:rsid w:val="000F6DD7"/>
    <w:rsid w:val="000F7C80"/>
    <w:rsid w:val="001228B0"/>
    <w:rsid w:val="00123A48"/>
    <w:rsid w:val="00125E9C"/>
    <w:rsid w:val="00130EEE"/>
    <w:rsid w:val="00141397"/>
    <w:rsid w:val="00141FB0"/>
    <w:rsid w:val="00144A4F"/>
    <w:rsid w:val="00147BDD"/>
    <w:rsid w:val="00154753"/>
    <w:rsid w:val="00161249"/>
    <w:rsid w:val="001666BD"/>
    <w:rsid w:val="0017258F"/>
    <w:rsid w:val="001760E7"/>
    <w:rsid w:val="00193B49"/>
    <w:rsid w:val="00195102"/>
    <w:rsid w:val="00195C4D"/>
    <w:rsid w:val="001A1332"/>
    <w:rsid w:val="001A1CAC"/>
    <w:rsid w:val="001A3B99"/>
    <w:rsid w:val="001A7996"/>
    <w:rsid w:val="001B01A4"/>
    <w:rsid w:val="001B06FA"/>
    <w:rsid w:val="001B6C7E"/>
    <w:rsid w:val="001B795F"/>
    <w:rsid w:val="001C31C3"/>
    <w:rsid w:val="001C646C"/>
    <w:rsid w:val="001D0B79"/>
    <w:rsid w:val="001D2465"/>
    <w:rsid w:val="001D2C96"/>
    <w:rsid w:val="001D53EE"/>
    <w:rsid w:val="001E1FA2"/>
    <w:rsid w:val="001E46C5"/>
    <w:rsid w:val="001F4EE5"/>
    <w:rsid w:val="001F5CC6"/>
    <w:rsid w:val="001F7AFE"/>
    <w:rsid w:val="00200D4A"/>
    <w:rsid w:val="002012B6"/>
    <w:rsid w:val="002213A3"/>
    <w:rsid w:val="00227941"/>
    <w:rsid w:val="00231C14"/>
    <w:rsid w:val="0023767E"/>
    <w:rsid w:val="002401D5"/>
    <w:rsid w:val="002429AC"/>
    <w:rsid w:val="0024316C"/>
    <w:rsid w:val="00243A22"/>
    <w:rsid w:val="00247111"/>
    <w:rsid w:val="00253847"/>
    <w:rsid w:val="00253DCD"/>
    <w:rsid w:val="0025482F"/>
    <w:rsid w:val="00255C08"/>
    <w:rsid w:val="00270861"/>
    <w:rsid w:val="00271F04"/>
    <w:rsid w:val="00272D03"/>
    <w:rsid w:val="0027388D"/>
    <w:rsid w:val="00283557"/>
    <w:rsid w:val="002B1B76"/>
    <w:rsid w:val="002B6F5A"/>
    <w:rsid w:val="002C4AC2"/>
    <w:rsid w:val="002C6E6B"/>
    <w:rsid w:val="002E7C6F"/>
    <w:rsid w:val="002F3299"/>
    <w:rsid w:val="002F477C"/>
    <w:rsid w:val="00302C3F"/>
    <w:rsid w:val="00306BE1"/>
    <w:rsid w:val="00310D49"/>
    <w:rsid w:val="003141D6"/>
    <w:rsid w:val="00321C1E"/>
    <w:rsid w:val="00336DE7"/>
    <w:rsid w:val="00350112"/>
    <w:rsid w:val="00353E9A"/>
    <w:rsid w:val="00354954"/>
    <w:rsid w:val="00355E78"/>
    <w:rsid w:val="00363755"/>
    <w:rsid w:val="0036408E"/>
    <w:rsid w:val="003671E9"/>
    <w:rsid w:val="003679C5"/>
    <w:rsid w:val="00371825"/>
    <w:rsid w:val="00374BCF"/>
    <w:rsid w:val="003775BF"/>
    <w:rsid w:val="00380DED"/>
    <w:rsid w:val="00386666"/>
    <w:rsid w:val="00386876"/>
    <w:rsid w:val="00387A39"/>
    <w:rsid w:val="00394115"/>
    <w:rsid w:val="003A2EF0"/>
    <w:rsid w:val="003A3C26"/>
    <w:rsid w:val="003A5EA3"/>
    <w:rsid w:val="003B06AA"/>
    <w:rsid w:val="003B3E46"/>
    <w:rsid w:val="003B5209"/>
    <w:rsid w:val="003C1114"/>
    <w:rsid w:val="003C31BE"/>
    <w:rsid w:val="003C68AB"/>
    <w:rsid w:val="003E07CE"/>
    <w:rsid w:val="003E29EF"/>
    <w:rsid w:val="003E30E8"/>
    <w:rsid w:val="003E3E77"/>
    <w:rsid w:val="003E694B"/>
    <w:rsid w:val="003F108C"/>
    <w:rsid w:val="0040193F"/>
    <w:rsid w:val="004023A2"/>
    <w:rsid w:val="00404F0B"/>
    <w:rsid w:val="004074C8"/>
    <w:rsid w:val="00412E1D"/>
    <w:rsid w:val="00415351"/>
    <w:rsid w:val="00415904"/>
    <w:rsid w:val="00422C30"/>
    <w:rsid w:val="0042641C"/>
    <w:rsid w:val="004318C8"/>
    <w:rsid w:val="00432AD8"/>
    <w:rsid w:val="0043593B"/>
    <w:rsid w:val="00436DC9"/>
    <w:rsid w:val="004375D1"/>
    <w:rsid w:val="00445F92"/>
    <w:rsid w:val="00450068"/>
    <w:rsid w:val="00455037"/>
    <w:rsid w:val="00461A44"/>
    <w:rsid w:val="00464A2F"/>
    <w:rsid w:val="00466E97"/>
    <w:rsid w:val="004764F6"/>
    <w:rsid w:val="00482E0B"/>
    <w:rsid w:val="004836E8"/>
    <w:rsid w:val="004850B7"/>
    <w:rsid w:val="004879FC"/>
    <w:rsid w:val="00487EB3"/>
    <w:rsid w:val="00490BFE"/>
    <w:rsid w:val="0049373F"/>
    <w:rsid w:val="004972D6"/>
    <w:rsid w:val="004A0A76"/>
    <w:rsid w:val="004A1542"/>
    <w:rsid w:val="004B0AD4"/>
    <w:rsid w:val="004B4A2C"/>
    <w:rsid w:val="004B6223"/>
    <w:rsid w:val="004B7A12"/>
    <w:rsid w:val="004C29DC"/>
    <w:rsid w:val="004C56E9"/>
    <w:rsid w:val="004C79C6"/>
    <w:rsid w:val="004D4DBE"/>
    <w:rsid w:val="004D59AC"/>
    <w:rsid w:val="004E2054"/>
    <w:rsid w:val="004E50E2"/>
    <w:rsid w:val="004E5279"/>
    <w:rsid w:val="004F3F3A"/>
    <w:rsid w:val="00505CA9"/>
    <w:rsid w:val="00510138"/>
    <w:rsid w:val="00513CDD"/>
    <w:rsid w:val="005179BA"/>
    <w:rsid w:val="005207BC"/>
    <w:rsid w:val="00534AEA"/>
    <w:rsid w:val="00534FCD"/>
    <w:rsid w:val="00540B64"/>
    <w:rsid w:val="00545A53"/>
    <w:rsid w:val="0055097D"/>
    <w:rsid w:val="00554BA8"/>
    <w:rsid w:val="00555012"/>
    <w:rsid w:val="005575C4"/>
    <w:rsid w:val="00561369"/>
    <w:rsid w:val="00562A17"/>
    <w:rsid w:val="00563150"/>
    <w:rsid w:val="00572AFA"/>
    <w:rsid w:val="005924CE"/>
    <w:rsid w:val="005931A7"/>
    <w:rsid w:val="00594F8B"/>
    <w:rsid w:val="00595547"/>
    <w:rsid w:val="005966FF"/>
    <w:rsid w:val="005A0E9E"/>
    <w:rsid w:val="005A167E"/>
    <w:rsid w:val="005A3DAB"/>
    <w:rsid w:val="005A64A6"/>
    <w:rsid w:val="005A6935"/>
    <w:rsid w:val="005B2D74"/>
    <w:rsid w:val="005B2DEA"/>
    <w:rsid w:val="005C00C6"/>
    <w:rsid w:val="005C2214"/>
    <w:rsid w:val="005C637D"/>
    <w:rsid w:val="005C68D8"/>
    <w:rsid w:val="005D1A40"/>
    <w:rsid w:val="005D2AA2"/>
    <w:rsid w:val="005E03B2"/>
    <w:rsid w:val="005E4588"/>
    <w:rsid w:val="005E7200"/>
    <w:rsid w:val="005F4DB0"/>
    <w:rsid w:val="006008F7"/>
    <w:rsid w:val="00600ECA"/>
    <w:rsid w:val="00601C9F"/>
    <w:rsid w:val="0060330E"/>
    <w:rsid w:val="006047B3"/>
    <w:rsid w:val="00606CD4"/>
    <w:rsid w:val="0061133D"/>
    <w:rsid w:val="00611D73"/>
    <w:rsid w:val="00620E14"/>
    <w:rsid w:val="006211A6"/>
    <w:rsid w:val="006240D9"/>
    <w:rsid w:val="00626FD8"/>
    <w:rsid w:val="00634370"/>
    <w:rsid w:val="00637267"/>
    <w:rsid w:val="0064767A"/>
    <w:rsid w:val="00647BAC"/>
    <w:rsid w:val="006569F8"/>
    <w:rsid w:val="00661150"/>
    <w:rsid w:val="00682B59"/>
    <w:rsid w:val="00687499"/>
    <w:rsid w:val="0068756B"/>
    <w:rsid w:val="00687A1C"/>
    <w:rsid w:val="0069481D"/>
    <w:rsid w:val="006A086A"/>
    <w:rsid w:val="006A2965"/>
    <w:rsid w:val="006A5134"/>
    <w:rsid w:val="006A67D1"/>
    <w:rsid w:val="006B498C"/>
    <w:rsid w:val="006B49B0"/>
    <w:rsid w:val="006B7C37"/>
    <w:rsid w:val="006C170F"/>
    <w:rsid w:val="006C1FEA"/>
    <w:rsid w:val="006C3B4F"/>
    <w:rsid w:val="006C3DE1"/>
    <w:rsid w:val="006C7CAD"/>
    <w:rsid w:val="006D6CEB"/>
    <w:rsid w:val="006E1790"/>
    <w:rsid w:val="006E1F16"/>
    <w:rsid w:val="006F0CAA"/>
    <w:rsid w:val="006F7AC3"/>
    <w:rsid w:val="00705C76"/>
    <w:rsid w:val="00706C9B"/>
    <w:rsid w:val="00714F6D"/>
    <w:rsid w:val="00715728"/>
    <w:rsid w:val="00717E7F"/>
    <w:rsid w:val="00723A4F"/>
    <w:rsid w:val="00724BF8"/>
    <w:rsid w:val="00734C54"/>
    <w:rsid w:val="007351B2"/>
    <w:rsid w:val="00736D0E"/>
    <w:rsid w:val="007456B3"/>
    <w:rsid w:val="007517FB"/>
    <w:rsid w:val="007555AC"/>
    <w:rsid w:val="00755650"/>
    <w:rsid w:val="007703E7"/>
    <w:rsid w:val="00770B61"/>
    <w:rsid w:val="00775885"/>
    <w:rsid w:val="007834E2"/>
    <w:rsid w:val="00784922"/>
    <w:rsid w:val="00794196"/>
    <w:rsid w:val="0079780C"/>
    <w:rsid w:val="00797DB4"/>
    <w:rsid w:val="007B0C9B"/>
    <w:rsid w:val="007B28DA"/>
    <w:rsid w:val="007B3233"/>
    <w:rsid w:val="007B4094"/>
    <w:rsid w:val="007B6819"/>
    <w:rsid w:val="007B75BA"/>
    <w:rsid w:val="007C78B3"/>
    <w:rsid w:val="007D2C90"/>
    <w:rsid w:val="007E0312"/>
    <w:rsid w:val="007E3D14"/>
    <w:rsid w:val="007E6027"/>
    <w:rsid w:val="007F3442"/>
    <w:rsid w:val="007F61FE"/>
    <w:rsid w:val="007F7674"/>
    <w:rsid w:val="007F7D92"/>
    <w:rsid w:val="00802BCE"/>
    <w:rsid w:val="00803503"/>
    <w:rsid w:val="008052A6"/>
    <w:rsid w:val="00811EEF"/>
    <w:rsid w:val="008153A7"/>
    <w:rsid w:val="0081698A"/>
    <w:rsid w:val="00816B5A"/>
    <w:rsid w:val="00821C2A"/>
    <w:rsid w:val="00823058"/>
    <w:rsid w:val="00825251"/>
    <w:rsid w:val="008277C2"/>
    <w:rsid w:val="00833CD1"/>
    <w:rsid w:val="008354E6"/>
    <w:rsid w:val="00836591"/>
    <w:rsid w:val="008419FF"/>
    <w:rsid w:val="00852353"/>
    <w:rsid w:val="008560B8"/>
    <w:rsid w:val="00862469"/>
    <w:rsid w:val="00865872"/>
    <w:rsid w:val="00880B64"/>
    <w:rsid w:val="0088346C"/>
    <w:rsid w:val="008857A4"/>
    <w:rsid w:val="00886F1E"/>
    <w:rsid w:val="008A6E5C"/>
    <w:rsid w:val="008B04E5"/>
    <w:rsid w:val="008B0F75"/>
    <w:rsid w:val="008B51AF"/>
    <w:rsid w:val="008B6FED"/>
    <w:rsid w:val="008B7A80"/>
    <w:rsid w:val="008C3B97"/>
    <w:rsid w:val="008C6BCA"/>
    <w:rsid w:val="008D2A6A"/>
    <w:rsid w:val="008E5FA0"/>
    <w:rsid w:val="008F0020"/>
    <w:rsid w:val="008F0FF3"/>
    <w:rsid w:val="008F2CF6"/>
    <w:rsid w:val="0090095D"/>
    <w:rsid w:val="009053DB"/>
    <w:rsid w:val="0090621E"/>
    <w:rsid w:val="009105DC"/>
    <w:rsid w:val="00912626"/>
    <w:rsid w:val="00912740"/>
    <w:rsid w:val="009128AE"/>
    <w:rsid w:val="00912C2E"/>
    <w:rsid w:val="009244F9"/>
    <w:rsid w:val="00927EC4"/>
    <w:rsid w:val="00930869"/>
    <w:rsid w:val="00931C2B"/>
    <w:rsid w:val="00936BD0"/>
    <w:rsid w:val="00937DD0"/>
    <w:rsid w:val="009417F9"/>
    <w:rsid w:val="0094333D"/>
    <w:rsid w:val="00944070"/>
    <w:rsid w:val="00945CAE"/>
    <w:rsid w:val="009517F6"/>
    <w:rsid w:val="00952344"/>
    <w:rsid w:val="009524FB"/>
    <w:rsid w:val="00952AE1"/>
    <w:rsid w:val="00952FB1"/>
    <w:rsid w:val="009564A2"/>
    <w:rsid w:val="00961A05"/>
    <w:rsid w:val="00970A0A"/>
    <w:rsid w:val="00970FD2"/>
    <w:rsid w:val="009712C1"/>
    <w:rsid w:val="00976DB2"/>
    <w:rsid w:val="00983CD8"/>
    <w:rsid w:val="0099120D"/>
    <w:rsid w:val="00993696"/>
    <w:rsid w:val="009A3B67"/>
    <w:rsid w:val="009B2D75"/>
    <w:rsid w:val="009B32F1"/>
    <w:rsid w:val="009B6892"/>
    <w:rsid w:val="009B6D49"/>
    <w:rsid w:val="009C7F03"/>
    <w:rsid w:val="009E1873"/>
    <w:rsid w:val="009E2BE3"/>
    <w:rsid w:val="009E6323"/>
    <w:rsid w:val="009F27EB"/>
    <w:rsid w:val="009F3940"/>
    <w:rsid w:val="009F396C"/>
    <w:rsid w:val="009F5B8E"/>
    <w:rsid w:val="00A045F6"/>
    <w:rsid w:val="00A109B1"/>
    <w:rsid w:val="00A10CE5"/>
    <w:rsid w:val="00A113DB"/>
    <w:rsid w:val="00A16681"/>
    <w:rsid w:val="00A17E82"/>
    <w:rsid w:val="00A21F06"/>
    <w:rsid w:val="00A230FB"/>
    <w:rsid w:val="00A245FE"/>
    <w:rsid w:val="00A25414"/>
    <w:rsid w:val="00A30F6A"/>
    <w:rsid w:val="00A439BA"/>
    <w:rsid w:val="00A45D0B"/>
    <w:rsid w:val="00A55580"/>
    <w:rsid w:val="00A55F63"/>
    <w:rsid w:val="00A605D6"/>
    <w:rsid w:val="00A61894"/>
    <w:rsid w:val="00A65643"/>
    <w:rsid w:val="00A671C6"/>
    <w:rsid w:val="00A679CE"/>
    <w:rsid w:val="00A73E5E"/>
    <w:rsid w:val="00A74BA0"/>
    <w:rsid w:val="00A74C9C"/>
    <w:rsid w:val="00A8239D"/>
    <w:rsid w:val="00A83BB5"/>
    <w:rsid w:val="00A865E3"/>
    <w:rsid w:val="00A940E1"/>
    <w:rsid w:val="00A96081"/>
    <w:rsid w:val="00A966DD"/>
    <w:rsid w:val="00AA720F"/>
    <w:rsid w:val="00AB1187"/>
    <w:rsid w:val="00AB341A"/>
    <w:rsid w:val="00AC65AE"/>
    <w:rsid w:val="00AC77A0"/>
    <w:rsid w:val="00AD17DC"/>
    <w:rsid w:val="00AD4B54"/>
    <w:rsid w:val="00AE3FF7"/>
    <w:rsid w:val="00AE704F"/>
    <w:rsid w:val="00AF15CC"/>
    <w:rsid w:val="00AF5E72"/>
    <w:rsid w:val="00B12374"/>
    <w:rsid w:val="00B12E1C"/>
    <w:rsid w:val="00B24D2B"/>
    <w:rsid w:val="00B26A22"/>
    <w:rsid w:val="00B32C20"/>
    <w:rsid w:val="00B354DF"/>
    <w:rsid w:val="00B356FF"/>
    <w:rsid w:val="00B360B3"/>
    <w:rsid w:val="00B36353"/>
    <w:rsid w:val="00B36DF6"/>
    <w:rsid w:val="00B41D85"/>
    <w:rsid w:val="00B426CD"/>
    <w:rsid w:val="00B43371"/>
    <w:rsid w:val="00B47828"/>
    <w:rsid w:val="00B47D9A"/>
    <w:rsid w:val="00B5119A"/>
    <w:rsid w:val="00B5254F"/>
    <w:rsid w:val="00B657AB"/>
    <w:rsid w:val="00B6715E"/>
    <w:rsid w:val="00B72351"/>
    <w:rsid w:val="00B83D72"/>
    <w:rsid w:val="00B84D6C"/>
    <w:rsid w:val="00B855DB"/>
    <w:rsid w:val="00B85DE0"/>
    <w:rsid w:val="00B86902"/>
    <w:rsid w:val="00B86DDA"/>
    <w:rsid w:val="00B872A8"/>
    <w:rsid w:val="00B87D0A"/>
    <w:rsid w:val="00B90333"/>
    <w:rsid w:val="00B919C7"/>
    <w:rsid w:val="00BA0FA9"/>
    <w:rsid w:val="00BA592C"/>
    <w:rsid w:val="00BA771E"/>
    <w:rsid w:val="00BB387B"/>
    <w:rsid w:val="00BB3B12"/>
    <w:rsid w:val="00BB5CD0"/>
    <w:rsid w:val="00BB711F"/>
    <w:rsid w:val="00BC26DC"/>
    <w:rsid w:val="00BC2CFD"/>
    <w:rsid w:val="00BD04A9"/>
    <w:rsid w:val="00BD5629"/>
    <w:rsid w:val="00BD7060"/>
    <w:rsid w:val="00BE3228"/>
    <w:rsid w:val="00BE5331"/>
    <w:rsid w:val="00BE5CDE"/>
    <w:rsid w:val="00BF4D8E"/>
    <w:rsid w:val="00BF5360"/>
    <w:rsid w:val="00C002AC"/>
    <w:rsid w:val="00C12A23"/>
    <w:rsid w:val="00C165C9"/>
    <w:rsid w:val="00C23B4F"/>
    <w:rsid w:val="00C23DA1"/>
    <w:rsid w:val="00C24122"/>
    <w:rsid w:val="00C34DFF"/>
    <w:rsid w:val="00C37376"/>
    <w:rsid w:val="00C44E11"/>
    <w:rsid w:val="00C533E3"/>
    <w:rsid w:val="00C535BF"/>
    <w:rsid w:val="00C56E3F"/>
    <w:rsid w:val="00C60514"/>
    <w:rsid w:val="00C66441"/>
    <w:rsid w:val="00C83E59"/>
    <w:rsid w:val="00C85D30"/>
    <w:rsid w:val="00CA6832"/>
    <w:rsid w:val="00CA6F21"/>
    <w:rsid w:val="00CB043A"/>
    <w:rsid w:val="00CC76D0"/>
    <w:rsid w:val="00CD3E98"/>
    <w:rsid w:val="00CD4A8E"/>
    <w:rsid w:val="00CD4C17"/>
    <w:rsid w:val="00CD7240"/>
    <w:rsid w:val="00CE7A06"/>
    <w:rsid w:val="00CF00AA"/>
    <w:rsid w:val="00D01FAB"/>
    <w:rsid w:val="00D027D1"/>
    <w:rsid w:val="00D04F63"/>
    <w:rsid w:val="00D17E38"/>
    <w:rsid w:val="00D236E7"/>
    <w:rsid w:val="00D24209"/>
    <w:rsid w:val="00D243CF"/>
    <w:rsid w:val="00D2562F"/>
    <w:rsid w:val="00D34571"/>
    <w:rsid w:val="00D349B2"/>
    <w:rsid w:val="00D37D6C"/>
    <w:rsid w:val="00D4471E"/>
    <w:rsid w:val="00D4474C"/>
    <w:rsid w:val="00D50700"/>
    <w:rsid w:val="00D536C4"/>
    <w:rsid w:val="00D62D7D"/>
    <w:rsid w:val="00D64773"/>
    <w:rsid w:val="00D66961"/>
    <w:rsid w:val="00D75DB7"/>
    <w:rsid w:val="00D7714C"/>
    <w:rsid w:val="00D870F8"/>
    <w:rsid w:val="00DA0016"/>
    <w:rsid w:val="00DA0EC0"/>
    <w:rsid w:val="00DA25B9"/>
    <w:rsid w:val="00DA3D08"/>
    <w:rsid w:val="00DA582B"/>
    <w:rsid w:val="00DB06AC"/>
    <w:rsid w:val="00DB0E9F"/>
    <w:rsid w:val="00DB2B73"/>
    <w:rsid w:val="00DB5192"/>
    <w:rsid w:val="00DB53D4"/>
    <w:rsid w:val="00DB62B2"/>
    <w:rsid w:val="00DB7AED"/>
    <w:rsid w:val="00DC2FA0"/>
    <w:rsid w:val="00DD2CF4"/>
    <w:rsid w:val="00DE26B7"/>
    <w:rsid w:val="00DE40E0"/>
    <w:rsid w:val="00DE4BA5"/>
    <w:rsid w:val="00DF3A13"/>
    <w:rsid w:val="00DF58A9"/>
    <w:rsid w:val="00E02356"/>
    <w:rsid w:val="00E042C7"/>
    <w:rsid w:val="00E04602"/>
    <w:rsid w:val="00E04CBC"/>
    <w:rsid w:val="00E04E59"/>
    <w:rsid w:val="00E24F6E"/>
    <w:rsid w:val="00E36340"/>
    <w:rsid w:val="00E37EDD"/>
    <w:rsid w:val="00E431AE"/>
    <w:rsid w:val="00E4487C"/>
    <w:rsid w:val="00E51966"/>
    <w:rsid w:val="00E538FA"/>
    <w:rsid w:val="00E54480"/>
    <w:rsid w:val="00E57C03"/>
    <w:rsid w:val="00E607EE"/>
    <w:rsid w:val="00E67114"/>
    <w:rsid w:val="00E76B7E"/>
    <w:rsid w:val="00E817FB"/>
    <w:rsid w:val="00E85615"/>
    <w:rsid w:val="00E86698"/>
    <w:rsid w:val="00E90535"/>
    <w:rsid w:val="00E91DEC"/>
    <w:rsid w:val="00E932C2"/>
    <w:rsid w:val="00E95810"/>
    <w:rsid w:val="00EA0EF3"/>
    <w:rsid w:val="00EA59C4"/>
    <w:rsid w:val="00EB0BCC"/>
    <w:rsid w:val="00EB280B"/>
    <w:rsid w:val="00EB6659"/>
    <w:rsid w:val="00EC35F0"/>
    <w:rsid w:val="00ED4727"/>
    <w:rsid w:val="00ED6E1A"/>
    <w:rsid w:val="00ED7626"/>
    <w:rsid w:val="00EE01D1"/>
    <w:rsid w:val="00EE2D3D"/>
    <w:rsid w:val="00EE4D72"/>
    <w:rsid w:val="00EF6660"/>
    <w:rsid w:val="00EF79E3"/>
    <w:rsid w:val="00F05D8A"/>
    <w:rsid w:val="00F070C4"/>
    <w:rsid w:val="00F075A7"/>
    <w:rsid w:val="00F07792"/>
    <w:rsid w:val="00F10358"/>
    <w:rsid w:val="00F11A57"/>
    <w:rsid w:val="00F12C2A"/>
    <w:rsid w:val="00F14080"/>
    <w:rsid w:val="00F2424F"/>
    <w:rsid w:val="00F26C41"/>
    <w:rsid w:val="00F27C33"/>
    <w:rsid w:val="00F3058E"/>
    <w:rsid w:val="00F31FC0"/>
    <w:rsid w:val="00F32D92"/>
    <w:rsid w:val="00F331E7"/>
    <w:rsid w:val="00F35035"/>
    <w:rsid w:val="00F40BB4"/>
    <w:rsid w:val="00F41240"/>
    <w:rsid w:val="00F53C79"/>
    <w:rsid w:val="00F54CBF"/>
    <w:rsid w:val="00F56B54"/>
    <w:rsid w:val="00F608D4"/>
    <w:rsid w:val="00F61AF1"/>
    <w:rsid w:val="00F65B0B"/>
    <w:rsid w:val="00F66C96"/>
    <w:rsid w:val="00F679BB"/>
    <w:rsid w:val="00F70705"/>
    <w:rsid w:val="00F71F80"/>
    <w:rsid w:val="00F75719"/>
    <w:rsid w:val="00F760B8"/>
    <w:rsid w:val="00F82046"/>
    <w:rsid w:val="00F84466"/>
    <w:rsid w:val="00F86CEC"/>
    <w:rsid w:val="00F95634"/>
    <w:rsid w:val="00F97636"/>
    <w:rsid w:val="00FA6E4A"/>
    <w:rsid w:val="00FB5B05"/>
    <w:rsid w:val="00FC0A5E"/>
    <w:rsid w:val="00FE0A5E"/>
    <w:rsid w:val="00FE3D5F"/>
    <w:rsid w:val="00FE5C05"/>
    <w:rsid w:val="00FE6C44"/>
    <w:rsid w:val="00FE78D6"/>
    <w:rsid w:val="00FF218B"/>
    <w:rsid w:val="00FF24DE"/>
    <w:rsid w:val="00FF7696"/>
    <w:rsid w:val="49383D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A661B"/>
  <w15:chartTrackingRefBased/>
  <w15:docId w15:val="{970E458E-0828-46DF-BFAE-6B1C0F3E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228"/>
    <w:pPr>
      <w:overflowPunct w:val="0"/>
      <w:autoSpaceDE w:val="0"/>
      <w:autoSpaceDN w:val="0"/>
      <w:adjustRightInd w:val="0"/>
      <w:spacing w:after="180"/>
      <w:textAlignment w:val="baseline"/>
    </w:pPr>
    <w:rPr>
      <w:rFonts w:ascii="Times New Roman" w:hAnsi="Times New Roman"/>
      <w:lang w:eastAsia="zh-CN"/>
    </w:rPr>
  </w:style>
  <w:style w:type="paragraph" w:styleId="Heading1">
    <w:name w:val="heading 1"/>
    <w:next w:val="Normal"/>
    <w:qFormat/>
    <w:rsid w:val="00BE32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rsid w:val="00BE3228"/>
    <w:pPr>
      <w:pBdr>
        <w:top w:val="none" w:sz="0" w:space="0" w:color="auto"/>
      </w:pBdr>
      <w:spacing w:before="180"/>
      <w:outlineLvl w:val="1"/>
    </w:pPr>
    <w:rPr>
      <w:sz w:val="32"/>
    </w:rPr>
  </w:style>
  <w:style w:type="paragraph" w:styleId="Heading3">
    <w:name w:val="heading 3"/>
    <w:basedOn w:val="Heading2"/>
    <w:next w:val="Normal"/>
    <w:qFormat/>
    <w:rsid w:val="00BE3228"/>
    <w:pPr>
      <w:spacing w:before="120"/>
      <w:outlineLvl w:val="2"/>
    </w:pPr>
    <w:rPr>
      <w:sz w:val="28"/>
    </w:rPr>
  </w:style>
  <w:style w:type="paragraph" w:styleId="Heading4">
    <w:name w:val="heading 4"/>
    <w:basedOn w:val="Heading3"/>
    <w:next w:val="Normal"/>
    <w:qFormat/>
    <w:rsid w:val="00BE3228"/>
    <w:pPr>
      <w:ind w:left="1418" w:hanging="1418"/>
      <w:outlineLvl w:val="3"/>
    </w:pPr>
    <w:rPr>
      <w:sz w:val="24"/>
    </w:rPr>
  </w:style>
  <w:style w:type="paragraph" w:styleId="Heading5">
    <w:name w:val="heading 5"/>
    <w:basedOn w:val="Heading4"/>
    <w:next w:val="Normal"/>
    <w:qFormat/>
    <w:rsid w:val="00BE3228"/>
    <w:pPr>
      <w:ind w:left="1701" w:hanging="1701"/>
      <w:outlineLvl w:val="4"/>
    </w:pPr>
    <w:rPr>
      <w:sz w:val="22"/>
    </w:rPr>
  </w:style>
  <w:style w:type="paragraph" w:styleId="Heading6">
    <w:name w:val="heading 6"/>
    <w:basedOn w:val="H6"/>
    <w:next w:val="Normal"/>
    <w:qFormat/>
    <w:rsid w:val="00BE3228"/>
    <w:pPr>
      <w:outlineLvl w:val="5"/>
    </w:pPr>
  </w:style>
  <w:style w:type="paragraph" w:styleId="Heading7">
    <w:name w:val="heading 7"/>
    <w:basedOn w:val="H6"/>
    <w:next w:val="Normal"/>
    <w:qFormat/>
    <w:rsid w:val="00BE3228"/>
    <w:pPr>
      <w:outlineLvl w:val="6"/>
    </w:pPr>
  </w:style>
  <w:style w:type="paragraph" w:styleId="Heading8">
    <w:name w:val="heading 8"/>
    <w:basedOn w:val="Heading1"/>
    <w:next w:val="Normal"/>
    <w:qFormat/>
    <w:rsid w:val="00BE3228"/>
    <w:pPr>
      <w:ind w:left="0" w:firstLine="0"/>
      <w:outlineLvl w:val="7"/>
    </w:pPr>
  </w:style>
  <w:style w:type="paragraph" w:styleId="Heading9">
    <w:name w:val="heading 9"/>
    <w:basedOn w:val="Heading8"/>
    <w:next w:val="Normal"/>
    <w:qFormat/>
    <w:rsid w:val="00BE3228"/>
    <w:pPr>
      <w:outlineLvl w:val="8"/>
    </w:pPr>
  </w:style>
  <w:style w:type="character" w:default="1" w:styleId="DefaultParagraphFont">
    <w:name w:val="Default Paragraph Font"/>
    <w:semiHidden/>
    <w:rsid w:val="00BE32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3228"/>
  </w:style>
  <w:style w:type="paragraph" w:styleId="TOC8">
    <w:name w:val="toc 8"/>
    <w:basedOn w:val="TOC1"/>
    <w:semiHidden/>
    <w:rsid w:val="00BE3228"/>
    <w:pPr>
      <w:spacing w:before="180"/>
      <w:ind w:left="2693" w:hanging="2693"/>
    </w:pPr>
    <w:rPr>
      <w:b/>
    </w:rPr>
  </w:style>
  <w:style w:type="paragraph" w:styleId="TOC1">
    <w:name w:val="toc 1"/>
    <w:semiHidden/>
    <w:rsid w:val="00BE32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zh-CN"/>
    </w:rPr>
  </w:style>
  <w:style w:type="paragraph" w:customStyle="1" w:styleId="ZT">
    <w:name w:val="ZT"/>
    <w:rsid w:val="00BE32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BE3228"/>
    <w:pPr>
      <w:ind w:left="1701" w:hanging="1701"/>
    </w:pPr>
  </w:style>
  <w:style w:type="paragraph" w:styleId="TOC4">
    <w:name w:val="toc 4"/>
    <w:basedOn w:val="TOC3"/>
    <w:semiHidden/>
    <w:rsid w:val="00BE3228"/>
    <w:pPr>
      <w:ind w:left="1418" w:hanging="1418"/>
    </w:pPr>
  </w:style>
  <w:style w:type="paragraph" w:styleId="TOC3">
    <w:name w:val="toc 3"/>
    <w:basedOn w:val="TOC2"/>
    <w:semiHidden/>
    <w:rsid w:val="00BE3228"/>
    <w:pPr>
      <w:ind w:left="1134" w:hanging="1134"/>
    </w:pPr>
  </w:style>
  <w:style w:type="paragraph" w:styleId="TOC2">
    <w:name w:val="toc 2"/>
    <w:basedOn w:val="TOC1"/>
    <w:semiHidden/>
    <w:rsid w:val="00BE3228"/>
    <w:pPr>
      <w:keepNext w:val="0"/>
      <w:spacing w:before="0"/>
      <w:ind w:left="851" w:hanging="851"/>
    </w:pPr>
    <w:rPr>
      <w:sz w:val="20"/>
    </w:rPr>
  </w:style>
  <w:style w:type="paragraph" w:styleId="Index2">
    <w:name w:val="index 2"/>
    <w:basedOn w:val="Index1"/>
    <w:semiHidden/>
    <w:rsid w:val="00BE3228"/>
    <w:pPr>
      <w:ind w:left="284"/>
    </w:pPr>
  </w:style>
  <w:style w:type="paragraph" w:styleId="Index1">
    <w:name w:val="index 1"/>
    <w:basedOn w:val="Normal"/>
    <w:semiHidden/>
    <w:rsid w:val="00BE3228"/>
    <w:pPr>
      <w:keepLines/>
      <w:spacing w:after="0"/>
    </w:pPr>
  </w:style>
  <w:style w:type="paragraph" w:customStyle="1" w:styleId="ZH">
    <w:name w:val="ZH"/>
    <w:rsid w:val="00BE3228"/>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BE3228"/>
    <w:pPr>
      <w:outlineLvl w:val="9"/>
    </w:pPr>
  </w:style>
  <w:style w:type="paragraph" w:styleId="ListNumber2">
    <w:name w:val="List Number 2"/>
    <w:basedOn w:val="ListNumber"/>
    <w:semiHidden/>
    <w:rsid w:val="00BE3228"/>
    <w:pPr>
      <w:ind w:left="851"/>
    </w:pPr>
  </w:style>
  <w:style w:type="paragraph" w:styleId="Header">
    <w:name w:val="header"/>
    <w:semiHidden/>
    <w:rsid w:val="00BE3228"/>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basedOn w:val="DefaultParagraphFont"/>
    <w:semiHidden/>
    <w:rsid w:val="00BE3228"/>
    <w:rPr>
      <w:b/>
      <w:position w:val="6"/>
      <w:sz w:val="16"/>
    </w:rPr>
  </w:style>
  <w:style w:type="paragraph" w:styleId="FootnoteText">
    <w:name w:val="footnote text"/>
    <w:basedOn w:val="Normal"/>
    <w:semiHidden/>
    <w:rsid w:val="00BE3228"/>
    <w:pPr>
      <w:keepLines/>
      <w:spacing w:after="0"/>
      <w:ind w:left="454" w:hanging="454"/>
    </w:pPr>
    <w:rPr>
      <w:sz w:val="16"/>
    </w:rPr>
  </w:style>
  <w:style w:type="paragraph" w:customStyle="1" w:styleId="TAH">
    <w:name w:val="TAH"/>
    <w:basedOn w:val="TAC"/>
    <w:link w:val="TAHCar"/>
    <w:rsid w:val="00BE3228"/>
    <w:rPr>
      <w:b/>
    </w:rPr>
  </w:style>
  <w:style w:type="paragraph" w:customStyle="1" w:styleId="TAC">
    <w:name w:val="TAC"/>
    <w:basedOn w:val="TAL"/>
    <w:link w:val="TACChar"/>
    <w:rsid w:val="00BE3228"/>
    <w:pPr>
      <w:jc w:val="center"/>
    </w:pPr>
  </w:style>
  <w:style w:type="paragraph" w:customStyle="1" w:styleId="TF">
    <w:name w:val="TF"/>
    <w:basedOn w:val="TH"/>
    <w:rsid w:val="00BE3228"/>
    <w:pPr>
      <w:keepNext w:val="0"/>
      <w:spacing w:before="0" w:after="240"/>
    </w:pPr>
  </w:style>
  <w:style w:type="paragraph" w:customStyle="1" w:styleId="NO">
    <w:name w:val="NO"/>
    <w:basedOn w:val="Normal"/>
    <w:rsid w:val="00BE3228"/>
    <w:pPr>
      <w:keepLines/>
      <w:ind w:left="1135" w:hanging="851"/>
    </w:pPr>
  </w:style>
  <w:style w:type="paragraph" w:styleId="TOC9">
    <w:name w:val="toc 9"/>
    <w:basedOn w:val="TOC8"/>
    <w:semiHidden/>
    <w:rsid w:val="00BE3228"/>
    <w:pPr>
      <w:ind w:left="1418" w:hanging="1418"/>
    </w:pPr>
  </w:style>
  <w:style w:type="paragraph" w:customStyle="1" w:styleId="EX">
    <w:name w:val="EX"/>
    <w:basedOn w:val="Normal"/>
    <w:rsid w:val="00BE3228"/>
    <w:pPr>
      <w:keepLines/>
      <w:ind w:left="1702" w:hanging="1418"/>
    </w:pPr>
  </w:style>
  <w:style w:type="paragraph" w:customStyle="1" w:styleId="FP">
    <w:name w:val="FP"/>
    <w:basedOn w:val="Normal"/>
    <w:rsid w:val="00BE3228"/>
    <w:pPr>
      <w:spacing w:after="0"/>
    </w:pPr>
  </w:style>
  <w:style w:type="paragraph" w:customStyle="1" w:styleId="LD">
    <w:name w:val="LD"/>
    <w:rsid w:val="00BE3228"/>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BE3228"/>
    <w:pPr>
      <w:spacing w:after="0"/>
    </w:pPr>
  </w:style>
  <w:style w:type="paragraph" w:customStyle="1" w:styleId="EW">
    <w:name w:val="EW"/>
    <w:basedOn w:val="EX"/>
    <w:rsid w:val="00BE3228"/>
    <w:pPr>
      <w:spacing w:after="0"/>
    </w:pPr>
  </w:style>
  <w:style w:type="paragraph" w:styleId="TOC6">
    <w:name w:val="toc 6"/>
    <w:basedOn w:val="TOC5"/>
    <w:next w:val="Normal"/>
    <w:semiHidden/>
    <w:rsid w:val="00BE3228"/>
    <w:pPr>
      <w:ind w:left="1985" w:hanging="1985"/>
    </w:pPr>
  </w:style>
  <w:style w:type="paragraph" w:styleId="TOC7">
    <w:name w:val="toc 7"/>
    <w:basedOn w:val="TOC6"/>
    <w:next w:val="Normal"/>
    <w:semiHidden/>
    <w:rsid w:val="00BE3228"/>
    <w:pPr>
      <w:ind w:left="2268" w:hanging="2268"/>
    </w:pPr>
  </w:style>
  <w:style w:type="paragraph" w:styleId="ListBullet2">
    <w:name w:val="List Bullet 2"/>
    <w:basedOn w:val="ListBullet"/>
    <w:semiHidden/>
    <w:rsid w:val="00BE3228"/>
    <w:pPr>
      <w:ind w:left="851"/>
    </w:pPr>
  </w:style>
  <w:style w:type="paragraph" w:styleId="ListBullet3">
    <w:name w:val="List Bullet 3"/>
    <w:basedOn w:val="ListBullet2"/>
    <w:semiHidden/>
    <w:rsid w:val="00BE3228"/>
    <w:pPr>
      <w:ind w:left="1135"/>
    </w:pPr>
  </w:style>
  <w:style w:type="paragraph" w:styleId="ListNumber">
    <w:name w:val="List Number"/>
    <w:basedOn w:val="List"/>
    <w:semiHidden/>
    <w:rsid w:val="00BE3228"/>
  </w:style>
  <w:style w:type="paragraph" w:customStyle="1" w:styleId="EQ">
    <w:name w:val="EQ"/>
    <w:basedOn w:val="Normal"/>
    <w:next w:val="Normal"/>
    <w:rsid w:val="00BE3228"/>
    <w:pPr>
      <w:keepLines/>
      <w:tabs>
        <w:tab w:val="center" w:pos="4536"/>
        <w:tab w:val="right" w:pos="9072"/>
      </w:tabs>
    </w:pPr>
    <w:rPr>
      <w:noProof/>
    </w:rPr>
  </w:style>
  <w:style w:type="paragraph" w:customStyle="1" w:styleId="TH">
    <w:name w:val="TH"/>
    <w:basedOn w:val="Normal"/>
    <w:rsid w:val="00BE3228"/>
    <w:pPr>
      <w:keepNext/>
      <w:keepLines/>
      <w:spacing w:before="60"/>
      <w:jc w:val="center"/>
    </w:pPr>
    <w:rPr>
      <w:rFonts w:ascii="Arial" w:hAnsi="Arial"/>
      <w:b/>
    </w:rPr>
  </w:style>
  <w:style w:type="paragraph" w:customStyle="1" w:styleId="NF">
    <w:name w:val="NF"/>
    <w:basedOn w:val="NO"/>
    <w:rsid w:val="00BE3228"/>
    <w:pPr>
      <w:keepNext/>
      <w:spacing w:after="0"/>
    </w:pPr>
    <w:rPr>
      <w:rFonts w:ascii="Arial" w:hAnsi="Arial"/>
      <w:sz w:val="18"/>
    </w:rPr>
  </w:style>
  <w:style w:type="paragraph" w:customStyle="1" w:styleId="PL">
    <w:name w:val="PL"/>
    <w:rsid w:val="00BE32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BE3228"/>
    <w:pPr>
      <w:jc w:val="right"/>
    </w:pPr>
  </w:style>
  <w:style w:type="paragraph" w:customStyle="1" w:styleId="H6">
    <w:name w:val="H6"/>
    <w:basedOn w:val="Heading5"/>
    <w:next w:val="Normal"/>
    <w:rsid w:val="00BE3228"/>
    <w:pPr>
      <w:ind w:left="1985" w:hanging="1985"/>
      <w:outlineLvl w:val="9"/>
    </w:pPr>
    <w:rPr>
      <w:sz w:val="20"/>
    </w:rPr>
  </w:style>
  <w:style w:type="paragraph" w:customStyle="1" w:styleId="TAN">
    <w:name w:val="TAN"/>
    <w:basedOn w:val="TAL"/>
    <w:link w:val="TANChar"/>
    <w:rsid w:val="00BE3228"/>
    <w:pPr>
      <w:ind w:left="851" w:hanging="851"/>
    </w:pPr>
  </w:style>
  <w:style w:type="paragraph" w:customStyle="1" w:styleId="TAL">
    <w:name w:val="TAL"/>
    <w:basedOn w:val="Normal"/>
    <w:rsid w:val="00BE3228"/>
    <w:pPr>
      <w:keepNext/>
      <w:keepLines/>
      <w:spacing w:after="0"/>
    </w:pPr>
    <w:rPr>
      <w:rFonts w:ascii="Arial" w:hAnsi="Arial"/>
      <w:sz w:val="18"/>
    </w:rPr>
  </w:style>
  <w:style w:type="paragraph" w:customStyle="1" w:styleId="ZA">
    <w:name w:val="ZA"/>
    <w:rsid w:val="00BE32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BE32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BE3228"/>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BE32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BE3228"/>
    <w:pPr>
      <w:framePr w:wrap="notBeside" w:y="16161"/>
    </w:pPr>
  </w:style>
  <w:style w:type="character" w:customStyle="1" w:styleId="ZGSM">
    <w:name w:val="ZGSM"/>
    <w:rsid w:val="00BE3228"/>
  </w:style>
  <w:style w:type="paragraph" w:styleId="List2">
    <w:name w:val="List 2"/>
    <w:basedOn w:val="List"/>
    <w:semiHidden/>
    <w:rsid w:val="00BE3228"/>
    <w:pPr>
      <w:ind w:left="851"/>
    </w:pPr>
  </w:style>
  <w:style w:type="paragraph" w:customStyle="1" w:styleId="ZG">
    <w:name w:val="ZG"/>
    <w:rsid w:val="00BE32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semiHidden/>
    <w:rsid w:val="00BE3228"/>
    <w:pPr>
      <w:ind w:left="1135"/>
    </w:pPr>
  </w:style>
  <w:style w:type="paragraph" w:styleId="List4">
    <w:name w:val="List 4"/>
    <w:basedOn w:val="List3"/>
    <w:semiHidden/>
    <w:rsid w:val="00BE3228"/>
    <w:pPr>
      <w:ind w:left="1418"/>
    </w:pPr>
  </w:style>
  <w:style w:type="paragraph" w:styleId="List5">
    <w:name w:val="List 5"/>
    <w:basedOn w:val="List4"/>
    <w:semiHidden/>
    <w:rsid w:val="00BE3228"/>
    <w:pPr>
      <w:ind w:left="1702"/>
    </w:pPr>
  </w:style>
  <w:style w:type="paragraph" w:customStyle="1" w:styleId="EditorsNote">
    <w:name w:val="Editor's Note"/>
    <w:basedOn w:val="NO"/>
    <w:rsid w:val="00BE3228"/>
    <w:rPr>
      <w:color w:val="FF0000"/>
    </w:rPr>
  </w:style>
  <w:style w:type="paragraph" w:styleId="List">
    <w:name w:val="List"/>
    <w:basedOn w:val="Normal"/>
    <w:semiHidden/>
    <w:rsid w:val="00BE3228"/>
    <w:pPr>
      <w:ind w:left="568" w:hanging="284"/>
    </w:pPr>
  </w:style>
  <w:style w:type="paragraph" w:styleId="ListBullet">
    <w:name w:val="List Bullet"/>
    <w:basedOn w:val="List"/>
    <w:semiHidden/>
    <w:rsid w:val="00BE3228"/>
  </w:style>
  <w:style w:type="paragraph" w:styleId="ListBullet4">
    <w:name w:val="List Bullet 4"/>
    <w:basedOn w:val="ListBullet3"/>
    <w:semiHidden/>
    <w:rsid w:val="00BE3228"/>
    <w:pPr>
      <w:ind w:left="1418"/>
    </w:pPr>
  </w:style>
  <w:style w:type="paragraph" w:styleId="ListBullet5">
    <w:name w:val="List Bullet 5"/>
    <w:basedOn w:val="ListBullet4"/>
    <w:semiHidden/>
    <w:rsid w:val="00BE3228"/>
    <w:pPr>
      <w:ind w:left="1702"/>
    </w:pPr>
  </w:style>
  <w:style w:type="paragraph" w:customStyle="1" w:styleId="B1">
    <w:name w:val="B1"/>
    <w:basedOn w:val="List"/>
    <w:rsid w:val="00BE3228"/>
  </w:style>
  <w:style w:type="paragraph" w:customStyle="1" w:styleId="B2">
    <w:name w:val="B2"/>
    <w:basedOn w:val="List2"/>
    <w:rsid w:val="00BE3228"/>
  </w:style>
  <w:style w:type="paragraph" w:customStyle="1" w:styleId="B3">
    <w:name w:val="B3"/>
    <w:basedOn w:val="List3"/>
    <w:rsid w:val="00BE3228"/>
  </w:style>
  <w:style w:type="paragraph" w:customStyle="1" w:styleId="B4">
    <w:name w:val="B4"/>
    <w:basedOn w:val="List4"/>
    <w:rsid w:val="00BE3228"/>
  </w:style>
  <w:style w:type="paragraph" w:customStyle="1" w:styleId="B5">
    <w:name w:val="B5"/>
    <w:basedOn w:val="List5"/>
    <w:rsid w:val="00BE3228"/>
  </w:style>
  <w:style w:type="paragraph" w:styleId="Footer">
    <w:name w:val="footer"/>
    <w:basedOn w:val="Header"/>
    <w:semiHidden/>
    <w:rsid w:val="00BE3228"/>
    <w:pPr>
      <w:jc w:val="center"/>
    </w:pPr>
    <w:rPr>
      <w:i/>
    </w:rPr>
  </w:style>
  <w:style w:type="paragraph" w:customStyle="1" w:styleId="ZTD">
    <w:name w:val="ZTD"/>
    <w:basedOn w:val="ZB"/>
    <w:rsid w:val="00BE3228"/>
    <w:pPr>
      <w:framePr w:hRule="auto" w:wrap="notBeside" w:y="852"/>
    </w:pPr>
    <w:rPr>
      <w:i w:val="0"/>
      <w:sz w:val="40"/>
    </w:rPr>
  </w:style>
  <w:style w:type="paragraph" w:styleId="NoSpacing">
    <w:name w:val="No Spacing"/>
    <w:uiPriority w:val="1"/>
    <w:qFormat/>
    <w:rsid w:val="000611C6"/>
    <w:rPr>
      <w:rFonts w:ascii="Times New Roman" w:hAnsi="Times New Roman"/>
      <w:lang w:val="en-US" w:eastAsia="en-US"/>
    </w:rPr>
  </w:style>
  <w:style w:type="paragraph" w:styleId="BodyText">
    <w:name w:val="Body Text"/>
    <w:aliases w:val="bt"/>
    <w:basedOn w:val="Normal"/>
    <w:link w:val="BodyTextChar"/>
    <w:rsid w:val="000611C6"/>
    <w:pPr>
      <w:spacing w:after="120"/>
      <w:jc w:val="both"/>
    </w:pPr>
    <w:rPr>
      <w:rFonts w:ascii="Times" w:eastAsia="SimSun" w:hAnsi="Times"/>
      <w:szCs w:val="24"/>
      <w:lang w:val="en-US" w:eastAsia="en-US"/>
    </w:rPr>
  </w:style>
  <w:style w:type="character" w:customStyle="1" w:styleId="BodyTextChar">
    <w:name w:val="Body Text Char"/>
    <w:aliases w:val="bt Char"/>
    <w:basedOn w:val="DefaultParagraphFont"/>
    <w:link w:val="BodyText"/>
    <w:rsid w:val="000611C6"/>
    <w:rPr>
      <w:rFonts w:ascii="Times" w:eastAsia="SimSun" w:hAnsi="Times"/>
      <w:szCs w:val="24"/>
      <w:lang w:val="en-US" w:eastAsia="en-US"/>
    </w:rPr>
  </w:style>
  <w:style w:type="paragraph" w:styleId="ListParagraph">
    <w:name w:val="List Paragraph"/>
    <w:basedOn w:val="Normal"/>
    <w:uiPriority w:val="34"/>
    <w:qFormat/>
    <w:rsid w:val="00F61AF1"/>
    <w:pPr>
      <w:ind w:left="720"/>
      <w:contextualSpacing/>
    </w:pPr>
  </w:style>
  <w:style w:type="paragraph" w:styleId="Caption">
    <w:name w:val="caption"/>
    <w:basedOn w:val="Normal"/>
    <w:next w:val="Normal"/>
    <w:uiPriority w:val="35"/>
    <w:unhideWhenUsed/>
    <w:qFormat/>
    <w:rsid w:val="0055097D"/>
    <w:rPr>
      <w:b/>
      <w:bCs/>
    </w:rPr>
  </w:style>
  <w:style w:type="table" w:styleId="TableGrid">
    <w:name w:val="Table Grid"/>
    <w:basedOn w:val="TableNormal"/>
    <w:uiPriority w:val="39"/>
    <w:rsid w:val="00EA0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45D0B"/>
    <w:rPr>
      <w:rFonts w:ascii="Times New Roman" w:hAnsi="Times New Roman"/>
    </w:rPr>
  </w:style>
  <w:style w:type="character" w:customStyle="1" w:styleId="TACChar">
    <w:name w:val="TAC Char"/>
    <w:link w:val="TAC"/>
    <w:qFormat/>
    <w:rsid w:val="00253847"/>
    <w:rPr>
      <w:rFonts w:ascii="Arial" w:hAnsi="Arial"/>
      <w:sz w:val="18"/>
      <w:lang w:eastAsia="zh-CN"/>
    </w:rPr>
  </w:style>
  <w:style w:type="character" w:customStyle="1" w:styleId="TAHCar">
    <w:name w:val="TAH Car"/>
    <w:link w:val="TAH"/>
    <w:qFormat/>
    <w:rsid w:val="00253847"/>
    <w:rPr>
      <w:rFonts w:ascii="Arial" w:hAnsi="Arial"/>
      <w:b/>
      <w:sz w:val="18"/>
      <w:lang w:eastAsia="zh-CN"/>
    </w:rPr>
  </w:style>
  <w:style w:type="character" w:customStyle="1" w:styleId="TANChar">
    <w:name w:val="TAN Char"/>
    <w:link w:val="TAN"/>
    <w:qFormat/>
    <w:rsid w:val="00253847"/>
    <w:rPr>
      <w:rFonts w:ascii="Arial" w:hAnsi="Arial"/>
      <w:sz w:val="18"/>
      <w:lang w:eastAsia="zh-CN"/>
    </w:rPr>
  </w:style>
  <w:style w:type="paragraph" w:customStyle="1" w:styleId="TableParagraph">
    <w:name w:val="Table Paragraph"/>
    <w:basedOn w:val="Normal"/>
    <w:uiPriority w:val="1"/>
    <w:qFormat/>
    <w:rsid w:val="00AC77A0"/>
    <w:pPr>
      <w:widowControl w:val="0"/>
      <w:overflowPunct/>
      <w:adjustRightInd/>
      <w:spacing w:after="0"/>
      <w:ind w:left="18"/>
      <w:jc w:val="center"/>
      <w:textAlignment w:val="auto"/>
    </w:pPr>
    <w:rPr>
      <w:rFonts w:ascii="Arial" w:eastAsia="Arial" w:hAnsi="Arial" w:cs="Arial"/>
      <w:sz w:val="22"/>
      <w:szCs w:val="22"/>
      <w:lang w:val="en-US" w:eastAsia="en-US"/>
    </w:rPr>
  </w:style>
  <w:style w:type="character" w:styleId="Hyperlink">
    <w:name w:val="Hyperlink"/>
    <w:basedOn w:val="DefaultParagraphFont"/>
    <w:uiPriority w:val="99"/>
    <w:unhideWhenUsed/>
    <w:rsid w:val="00F31FC0"/>
    <w:rPr>
      <w:color w:val="467886" w:themeColor="hyperlink"/>
      <w:u w:val="single"/>
    </w:rPr>
  </w:style>
  <w:style w:type="character" w:styleId="UnresolvedMention">
    <w:name w:val="Unresolved Mention"/>
    <w:basedOn w:val="DefaultParagraphFont"/>
    <w:uiPriority w:val="99"/>
    <w:semiHidden/>
    <w:unhideWhenUsed/>
    <w:rsid w:val="00F31FC0"/>
    <w:rPr>
      <w:color w:val="605E5C"/>
      <w:shd w:val="clear" w:color="auto" w:fill="E1DFDD"/>
    </w:rPr>
  </w:style>
  <w:style w:type="paragraph" w:customStyle="1" w:styleId="Table">
    <w:name w:val="Table_#"/>
    <w:basedOn w:val="Normal"/>
    <w:next w:val="Normal"/>
    <w:rsid w:val="00302C3F"/>
    <w:pPr>
      <w:keepNext/>
      <w:spacing w:before="567" w:after="113"/>
      <w:jc w:val="center"/>
    </w:pPr>
    <w:rPr>
      <w:sz w:val="18"/>
      <w:lang w:eastAsia="en-US"/>
    </w:rPr>
  </w:style>
  <w:style w:type="paragraph" w:customStyle="1" w:styleId="TableText">
    <w:name w:val="Table_Text"/>
    <w:basedOn w:val="Normal"/>
    <w:rsid w:val="00302C3F"/>
    <w:pPr>
      <w:keepNext/>
      <w:tabs>
        <w:tab w:val="left" w:pos="794"/>
        <w:tab w:val="left" w:pos="1191"/>
        <w:tab w:val="left" w:pos="1588"/>
        <w:tab w:val="left" w:pos="1985"/>
      </w:tabs>
      <w:spacing w:before="100" w:after="100" w:line="190" w:lineRule="exact"/>
      <w:jc w:val="both"/>
    </w:pPr>
    <w:rPr>
      <w:sz w:val="18"/>
      <w:lang w:eastAsia="en-US"/>
    </w:rPr>
  </w:style>
  <w:style w:type="paragraph" w:customStyle="1" w:styleId="TableLegend">
    <w:name w:val="Table_Legend"/>
    <w:basedOn w:val="Normal"/>
    <w:next w:val="Normal"/>
    <w:rsid w:val="00A045F6"/>
    <w:pPr>
      <w:keepNext/>
      <w:tabs>
        <w:tab w:val="left" w:pos="794"/>
        <w:tab w:val="left" w:pos="1191"/>
        <w:tab w:val="left" w:pos="1588"/>
        <w:tab w:val="left" w:pos="1985"/>
      </w:tabs>
      <w:spacing w:before="86" w:after="0" w:line="199" w:lineRule="exact"/>
      <w:ind w:left="-85" w:right="-85"/>
      <w:jc w:val="both"/>
    </w:pPr>
    <w:rPr>
      <w:sz w:val="18"/>
      <w:lang w:eastAsia="en-US"/>
    </w:rPr>
  </w:style>
  <w:style w:type="paragraph" w:customStyle="1" w:styleId="Note">
    <w:name w:val="Note"/>
    <w:basedOn w:val="Normal"/>
    <w:next w:val="Normal"/>
    <w:rsid w:val="00A045F6"/>
    <w:pPr>
      <w:spacing w:before="80" w:after="0"/>
      <w:jc w:val="both"/>
    </w:pPr>
    <w:rPr>
      <w:lang w:eastAsia="en-US"/>
    </w:rPr>
  </w:style>
  <w:style w:type="paragraph" w:styleId="TableofFigures">
    <w:name w:val="table of figures"/>
    <w:basedOn w:val="Normal"/>
    <w:next w:val="Normal"/>
    <w:uiPriority w:val="99"/>
    <w:unhideWhenUsed/>
    <w:rsid w:val="006B7C37"/>
    <w:pPr>
      <w:spacing w:after="0"/>
    </w:pPr>
  </w:style>
  <w:style w:type="paragraph" w:customStyle="1" w:styleId="TableTitle">
    <w:name w:val="Table_Title"/>
    <w:basedOn w:val="Table"/>
    <w:next w:val="Normal"/>
    <w:rsid w:val="00952AE1"/>
    <w:pPr>
      <w:spacing w:before="0"/>
    </w:pPr>
    <w:rPr>
      <w:b/>
    </w:rPr>
  </w:style>
  <w:style w:type="character" w:styleId="PlaceholderText">
    <w:name w:val="Placeholder Text"/>
    <w:basedOn w:val="DefaultParagraphFont"/>
    <w:uiPriority w:val="99"/>
    <w:semiHidden/>
    <w:rsid w:val="003B3E4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inmarsat.com\Mis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5096D-773F-4C5D-A1FF-51EDCDC9A3B3}">
  <ds:schemaRefs>
    <ds:schemaRef ds:uri="http://schemas.microsoft.com/office/2006/metadata/properties"/>
    <ds:schemaRef ds:uri="http://purl.org/dc/elements/1.1/"/>
    <ds:schemaRef ds:uri="9521437f-7a5f-4c0e-989d-711dce789f28"/>
    <ds:schemaRef ds:uri="http://www.w3.org/XML/1998/namespace"/>
    <ds:schemaRef ds:uri="74fc1b7d-2491-4325-b4ba-4ded840cc5c3"/>
    <ds:schemaRef ds:uri="http://schemas.openxmlformats.org/package/2006/metadata/core-properties"/>
    <ds:schemaRef ds:uri="http://schemas.microsoft.com/office/2006/documentManagement/types"/>
    <ds:schemaRef ds:uri="http://schemas.microsoft.com/office/infopath/2007/PartnerControls"/>
    <ds:schemaRef ds:uri="74454b63-66bb-4212-8455-87ee665820ff"/>
    <ds:schemaRef ds:uri="http://purl.org/dc/dcmitype/"/>
    <ds:schemaRef ds:uri="http://purl.org/dc/terms/"/>
  </ds:schemaRefs>
</ds:datastoreItem>
</file>

<file path=customXml/itemProps2.xml><?xml version="1.0" encoding="utf-8"?>
<ds:datastoreItem xmlns:ds="http://schemas.openxmlformats.org/officeDocument/2006/customXml" ds:itemID="{A629DED8-60D6-4111-A6A2-6C4FD4F29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D71EB0-96B6-4102-8241-1FCF105F38C2}">
  <ds:schemaRefs>
    <ds:schemaRef ds:uri="http://schemas.microsoft.com/sharepoint/v3/contenttype/forms"/>
  </ds:schemaRefs>
</ds:datastoreItem>
</file>

<file path=customXml/itemProps4.xml><?xml version="1.0" encoding="utf-8"?>
<ds:datastoreItem xmlns:ds="http://schemas.openxmlformats.org/officeDocument/2006/customXml" ds:itemID="{ED012F14-1A12-4E8F-A673-623AD1C9104F}">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1933</Words>
  <Characters>11292</Characters>
  <Application>Microsoft Office Word</Application>
  <DocSecurity>0</DocSecurity>
  <Lines>94</Lines>
  <Paragraphs>26</Paragraphs>
  <ScaleCrop>false</ScaleCrop>
  <Company>ETSI Sophia Antipolis</Company>
  <LinksUpToDate>false</LinksUpToDate>
  <CharactersWithSpaces>13199</CharactersWithSpaces>
  <SharedDoc>false</SharedDoc>
  <HLinks>
    <vt:vector size="156" baseType="variant">
      <vt:variant>
        <vt:i4>65656</vt:i4>
      </vt:variant>
      <vt:variant>
        <vt:i4>168</vt:i4>
      </vt:variant>
      <vt:variant>
        <vt:i4>0</vt:i4>
      </vt:variant>
      <vt:variant>
        <vt:i4>5</vt:i4>
      </vt:variant>
      <vt:variant>
        <vt:lpwstr>https://www.ntia.doc.gov/files/ntia/publications/compendium/1660.00-1660.50_01MAY15.pdf</vt:lpwstr>
      </vt:variant>
      <vt:variant>
        <vt:lpwstr/>
      </vt:variant>
      <vt:variant>
        <vt:i4>917546</vt:i4>
      </vt:variant>
      <vt:variant>
        <vt:i4>165</vt:i4>
      </vt:variant>
      <vt:variant>
        <vt:i4>0</vt:i4>
      </vt:variant>
      <vt:variant>
        <vt:i4>5</vt:i4>
      </vt:variant>
      <vt:variant>
        <vt:lpwstr>https://www.ntia.gov/files/ntia/publications/compendium/1660.50-1668.40_01DEC15.pdf</vt:lpwstr>
      </vt:variant>
      <vt:variant>
        <vt:lpwstr/>
      </vt:variant>
      <vt:variant>
        <vt:i4>5767180</vt:i4>
      </vt:variant>
      <vt:variant>
        <vt:i4>162</vt:i4>
      </vt:variant>
      <vt:variant>
        <vt:i4>0</vt:i4>
      </vt:variant>
      <vt:variant>
        <vt:i4>5</vt:i4>
      </vt:variant>
      <vt:variant>
        <vt:lpwstr>https://www.ecfr.gov/current/title-47/chapter-I/subchapter-B/part-25</vt:lpwstr>
      </vt:variant>
      <vt:variant>
        <vt:lpwstr>p-25.202</vt:lpwstr>
      </vt:variant>
      <vt:variant>
        <vt:i4>6357026</vt:i4>
      </vt:variant>
      <vt:variant>
        <vt:i4>159</vt:i4>
      </vt:variant>
      <vt:variant>
        <vt:i4>0</vt:i4>
      </vt:variant>
      <vt:variant>
        <vt:i4>5</vt:i4>
      </vt:variant>
      <vt:variant>
        <vt:lpwstr>https://www.ecfr.gov/current/title-47/chapter-I/subchapter-A/part-2/subpart-B/section-2.106</vt:lpwstr>
      </vt:variant>
      <vt:variant>
        <vt:lpwstr/>
      </vt:variant>
      <vt:variant>
        <vt:i4>7274604</vt:i4>
      </vt:variant>
      <vt:variant>
        <vt:i4>156</vt:i4>
      </vt:variant>
      <vt:variant>
        <vt:i4>0</vt:i4>
      </vt:variant>
      <vt:variant>
        <vt:i4>5</vt:i4>
      </vt:variant>
      <vt:variant>
        <vt:lpwstr>https://www.etsi.org/deliver/etsi_en/301600_301699/301681/02.01.02_60/en_301681v020102p.pdf</vt:lpwstr>
      </vt:variant>
      <vt:variant>
        <vt:lpwstr/>
      </vt:variant>
      <vt:variant>
        <vt:i4>3670126</vt:i4>
      </vt:variant>
      <vt:variant>
        <vt:i4>153</vt:i4>
      </vt:variant>
      <vt:variant>
        <vt:i4>0</vt:i4>
      </vt:variant>
      <vt:variant>
        <vt:i4>5</vt:i4>
      </vt:variant>
      <vt:variant>
        <vt:lpwstr>https://www.itu.int/rec/R-REC-M.1480-0-200005-I/en</vt:lpwstr>
      </vt:variant>
      <vt:variant>
        <vt:lpwstr/>
      </vt:variant>
      <vt:variant>
        <vt:i4>1441848</vt:i4>
      </vt:variant>
      <vt:variant>
        <vt:i4>149</vt:i4>
      </vt:variant>
      <vt:variant>
        <vt:i4>0</vt:i4>
      </vt:variant>
      <vt:variant>
        <vt:i4>5</vt:i4>
      </vt:variant>
      <vt:variant>
        <vt:lpwstr/>
      </vt:variant>
      <vt:variant>
        <vt:lpwstr>_Toc179739381</vt:lpwstr>
      </vt:variant>
      <vt:variant>
        <vt:i4>1441848</vt:i4>
      </vt:variant>
      <vt:variant>
        <vt:i4>146</vt:i4>
      </vt:variant>
      <vt:variant>
        <vt:i4>0</vt:i4>
      </vt:variant>
      <vt:variant>
        <vt:i4>5</vt:i4>
      </vt:variant>
      <vt:variant>
        <vt:lpwstr/>
      </vt:variant>
      <vt:variant>
        <vt:lpwstr>_Toc179739380</vt:lpwstr>
      </vt:variant>
      <vt:variant>
        <vt:i4>1638456</vt:i4>
      </vt:variant>
      <vt:variant>
        <vt:i4>143</vt:i4>
      </vt:variant>
      <vt:variant>
        <vt:i4>0</vt:i4>
      </vt:variant>
      <vt:variant>
        <vt:i4>5</vt:i4>
      </vt:variant>
      <vt:variant>
        <vt:lpwstr/>
      </vt:variant>
      <vt:variant>
        <vt:lpwstr>_Toc179739379</vt:lpwstr>
      </vt:variant>
      <vt:variant>
        <vt:i4>1638456</vt:i4>
      </vt:variant>
      <vt:variant>
        <vt:i4>140</vt:i4>
      </vt:variant>
      <vt:variant>
        <vt:i4>0</vt:i4>
      </vt:variant>
      <vt:variant>
        <vt:i4>5</vt:i4>
      </vt:variant>
      <vt:variant>
        <vt:lpwstr/>
      </vt:variant>
      <vt:variant>
        <vt:lpwstr>_Toc179739378</vt:lpwstr>
      </vt:variant>
      <vt:variant>
        <vt:i4>1638456</vt:i4>
      </vt:variant>
      <vt:variant>
        <vt:i4>137</vt:i4>
      </vt:variant>
      <vt:variant>
        <vt:i4>0</vt:i4>
      </vt:variant>
      <vt:variant>
        <vt:i4>5</vt:i4>
      </vt:variant>
      <vt:variant>
        <vt:lpwstr/>
      </vt:variant>
      <vt:variant>
        <vt:lpwstr>_Toc179739377</vt:lpwstr>
      </vt:variant>
      <vt:variant>
        <vt:i4>1638456</vt:i4>
      </vt:variant>
      <vt:variant>
        <vt:i4>134</vt:i4>
      </vt:variant>
      <vt:variant>
        <vt:i4>0</vt:i4>
      </vt:variant>
      <vt:variant>
        <vt:i4>5</vt:i4>
      </vt:variant>
      <vt:variant>
        <vt:lpwstr/>
      </vt:variant>
      <vt:variant>
        <vt:lpwstr>_Toc179739376</vt:lpwstr>
      </vt:variant>
      <vt:variant>
        <vt:i4>1638456</vt:i4>
      </vt:variant>
      <vt:variant>
        <vt:i4>131</vt:i4>
      </vt:variant>
      <vt:variant>
        <vt:i4>0</vt:i4>
      </vt:variant>
      <vt:variant>
        <vt:i4>5</vt:i4>
      </vt:variant>
      <vt:variant>
        <vt:lpwstr/>
      </vt:variant>
      <vt:variant>
        <vt:lpwstr>_Toc179739375</vt:lpwstr>
      </vt:variant>
      <vt:variant>
        <vt:i4>1638456</vt:i4>
      </vt:variant>
      <vt:variant>
        <vt:i4>128</vt:i4>
      </vt:variant>
      <vt:variant>
        <vt:i4>0</vt:i4>
      </vt:variant>
      <vt:variant>
        <vt:i4>5</vt:i4>
      </vt:variant>
      <vt:variant>
        <vt:lpwstr/>
      </vt:variant>
      <vt:variant>
        <vt:lpwstr>_Toc179739374</vt:lpwstr>
      </vt:variant>
      <vt:variant>
        <vt:i4>1638456</vt:i4>
      </vt:variant>
      <vt:variant>
        <vt:i4>125</vt:i4>
      </vt:variant>
      <vt:variant>
        <vt:i4>0</vt:i4>
      </vt:variant>
      <vt:variant>
        <vt:i4>5</vt:i4>
      </vt:variant>
      <vt:variant>
        <vt:lpwstr/>
      </vt:variant>
      <vt:variant>
        <vt:lpwstr>_Toc179739373</vt:lpwstr>
      </vt:variant>
      <vt:variant>
        <vt:i4>1638456</vt:i4>
      </vt:variant>
      <vt:variant>
        <vt:i4>122</vt:i4>
      </vt:variant>
      <vt:variant>
        <vt:i4>0</vt:i4>
      </vt:variant>
      <vt:variant>
        <vt:i4>5</vt:i4>
      </vt:variant>
      <vt:variant>
        <vt:lpwstr/>
      </vt:variant>
      <vt:variant>
        <vt:lpwstr>_Toc179739372</vt:lpwstr>
      </vt:variant>
      <vt:variant>
        <vt:i4>1638456</vt:i4>
      </vt:variant>
      <vt:variant>
        <vt:i4>119</vt:i4>
      </vt:variant>
      <vt:variant>
        <vt:i4>0</vt:i4>
      </vt:variant>
      <vt:variant>
        <vt:i4>5</vt:i4>
      </vt:variant>
      <vt:variant>
        <vt:lpwstr/>
      </vt:variant>
      <vt:variant>
        <vt:lpwstr>_Toc179739371</vt:lpwstr>
      </vt:variant>
      <vt:variant>
        <vt:i4>2031677</vt:i4>
      </vt:variant>
      <vt:variant>
        <vt:i4>113</vt:i4>
      </vt:variant>
      <vt:variant>
        <vt:i4>0</vt:i4>
      </vt:variant>
      <vt:variant>
        <vt:i4>5</vt:i4>
      </vt:variant>
      <vt:variant>
        <vt:lpwstr/>
      </vt:variant>
      <vt:variant>
        <vt:lpwstr>_Toc179739617</vt:lpwstr>
      </vt:variant>
      <vt:variant>
        <vt:i4>2031677</vt:i4>
      </vt:variant>
      <vt:variant>
        <vt:i4>110</vt:i4>
      </vt:variant>
      <vt:variant>
        <vt:i4>0</vt:i4>
      </vt:variant>
      <vt:variant>
        <vt:i4>5</vt:i4>
      </vt:variant>
      <vt:variant>
        <vt:lpwstr/>
      </vt:variant>
      <vt:variant>
        <vt:lpwstr>_Toc179739616</vt:lpwstr>
      </vt:variant>
      <vt:variant>
        <vt:i4>2031677</vt:i4>
      </vt:variant>
      <vt:variant>
        <vt:i4>107</vt:i4>
      </vt:variant>
      <vt:variant>
        <vt:i4>0</vt:i4>
      </vt:variant>
      <vt:variant>
        <vt:i4>5</vt:i4>
      </vt:variant>
      <vt:variant>
        <vt:lpwstr/>
      </vt:variant>
      <vt:variant>
        <vt:lpwstr>_Toc179739615</vt:lpwstr>
      </vt:variant>
      <vt:variant>
        <vt:i4>2031677</vt:i4>
      </vt:variant>
      <vt:variant>
        <vt:i4>104</vt:i4>
      </vt:variant>
      <vt:variant>
        <vt:i4>0</vt:i4>
      </vt:variant>
      <vt:variant>
        <vt:i4>5</vt:i4>
      </vt:variant>
      <vt:variant>
        <vt:lpwstr/>
      </vt:variant>
      <vt:variant>
        <vt:lpwstr>_Toc179739614</vt:lpwstr>
      </vt:variant>
      <vt:variant>
        <vt:i4>2031677</vt:i4>
      </vt:variant>
      <vt:variant>
        <vt:i4>101</vt:i4>
      </vt:variant>
      <vt:variant>
        <vt:i4>0</vt:i4>
      </vt:variant>
      <vt:variant>
        <vt:i4>5</vt:i4>
      </vt:variant>
      <vt:variant>
        <vt:lpwstr/>
      </vt:variant>
      <vt:variant>
        <vt:lpwstr>_Toc179739613</vt:lpwstr>
      </vt:variant>
      <vt:variant>
        <vt:i4>2031677</vt:i4>
      </vt:variant>
      <vt:variant>
        <vt:i4>98</vt:i4>
      </vt:variant>
      <vt:variant>
        <vt:i4>0</vt:i4>
      </vt:variant>
      <vt:variant>
        <vt:i4>5</vt:i4>
      </vt:variant>
      <vt:variant>
        <vt:lpwstr/>
      </vt:variant>
      <vt:variant>
        <vt:lpwstr>_Toc179739612</vt:lpwstr>
      </vt:variant>
      <vt:variant>
        <vt:i4>2031677</vt:i4>
      </vt:variant>
      <vt:variant>
        <vt:i4>95</vt:i4>
      </vt:variant>
      <vt:variant>
        <vt:i4>0</vt:i4>
      </vt:variant>
      <vt:variant>
        <vt:i4>5</vt:i4>
      </vt:variant>
      <vt:variant>
        <vt:lpwstr/>
      </vt:variant>
      <vt:variant>
        <vt:lpwstr>_Toc179739611</vt:lpwstr>
      </vt:variant>
      <vt:variant>
        <vt:i4>2031677</vt:i4>
      </vt:variant>
      <vt:variant>
        <vt:i4>92</vt:i4>
      </vt:variant>
      <vt:variant>
        <vt:i4>0</vt:i4>
      </vt:variant>
      <vt:variant>
        <vt:i4>5</vt:i4>
      </vt:variant>
      <vt:variant>
        <vt:lpwstr/>
      </vt:variant>
      <vt:variant>
        <vt:lpwstr>_Toc179739610</vt:lpwstr>
      </vt:variant>
      <vt:variant>
        <vt:i4>1966141</vt:i4>
      </vt:variant>
      <vt:variant>
        <vt:i4>89</vt:i4>
      </vt:variant>
      <vt:variant>
        <vt:i4>0</vt:i4>
      </vt:variant>
      <vt:variant>
        <vt:i4>5</vt:i4>
      </vt:variant>
      <vt:variant>
        <vt:lpwstr/>
      </vt:variant>
      <vt:variant>
        <vt:lpwstr>_Toc179739609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Alexander Rhodes</dc:creator>
  <cp:keywords>ESA, style sheet, Winword</cp:keywords>
  <dc:description/>
  <cp:lastModifiedBy>Alexander Rhodes</cp:lastModifiedBy>
  <cp:revision>94</cp:revision>
  <cp:lastPrinted>1900-01-01T08:00:00Z</cp:lastPrinted>
  <dcterms:created xsi:type="dcterms:W3CDTF">2024-10-31T11:51:00Z</dcterms:created>
  <dcterms:modified xsi:type="dcterms:W3CDTF">2024-11-08T09:29:00Z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0x010100B98573469650B343AF314866C5FCEB84</vt:lpwstr>
  </property>
  <property fmtid="{D5CDD505-2E9C-101B-9397-08002B2CF9AE}" pid="3" name="MediaServiceImageTags">
    <vt:lpwstr/>
  </property>
</Properties>
</file>